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vertAlign w:val="baseline"/>
        </w:rPr>
      </w:pPr>
      <w:r w:rsidDel="00000000" w:rsidR="00000000" w:rsidRPr="00000000">
        <w:rPr>
          <w:rtl w:val="0"/>
        </w:rPr>
      </w:r>
    </w:p>
    <w:p w:rsidR="00000000" w:rsidDel="00000000" w:rsidP="00000000" w:rsidRDefault="00000000" w:rsidRPr="00000000" w14:paraId="00000002">
      <w:pPr>
        <w:pStyle w:val="Title"/>
        <w:jc w:val="center"/>
        <w:rPr>
          <w:vertAlign w:val="baseline"/>
        </w:rPr>
      </w:pPr>
      <w:bookmarkStart w:colFirst="0" w:colLast="0" w:name="_heading=h.qgspjjq2jqi" w:id="0"/>
      <w:bookmarkEnd w:id="0"/>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1"/>
          <w:i w:val="0"/>
          <w:smallCaps w:val="0"/>
          <w:strike w:val="0"/>
          <w:color w:val="000000"/>
          <w:sz w:val="56"/>
          <w:szCs w:val="56"/>
          <w:u w:val="none"/>
          <w:shd w:fill="auto" w:val="clear"/>
          <w:vertAlign w:val="baseline"/>
        </w:rPr>
      </w:pPr>
      <w:r w:rsidDel="00000000" w:rsidR="00000000" w:rsidRPr="00000000">
        <w:rPr>
          <w:rFonts w:ascii="Arial" w:cs="Arial" w:eastAsia="Arial" w:hAnsi="Arial"/>
          <w:b w:val="1"/>
          <w:i w:val="0"/>
          <w:smallCaps w:val="0"/>
          <w:strike w:val="0"/>
          <w:color w:val="000000"/>
          <w:sz w:val="56"/>
          <w:szCs w:val="56"/>
          <w:u w:val="none"/>
          <w:shd w:fill="auto" w:val="clear"/>
          <w:vertAlign w:val="baseline"/>
          <w:rtl w:val="0"/>
        </w:rPr>
        <w:t xml:space="preserve">        PREMISES</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1"/>
          <w:i w:val="0"/>
          <w:smallCaps w:val="0"/>
          <w:strike w:val="0"/>
          <w:color w:val="000000"/>
          <w:sz w:val="56"/>
          <w:szCs w:val="56"/>
          <w:u w:val="none"/>
          <w:shd w:fill="auto" w:val="clear"/>
          <w:vertAlign w:val="baseline"/>
        </w:rPr>
      </w:pPr>
      <w:r w:rsidDel="00000000" w:rsidR="00000000" w:rsidRPr="00000000">
        <w:rPr>
          <w:rFonts w:ascii="Arial" w:cs="Arial" w:eastAsia="Arial" w:hAnsi="Arial"/>
          <w:b w:val="1"/>
          <w:i w:val="0"/>
          <w:smallCaps w:val="0"/>
          <w:strike w:val="0"/>
          <w:color w:val="000000"/>
          <w:sz w:val="56"/>
          <w:szCs w:val="56"/>
          <w:u w:val="none"/>
          <w:shd w:fill="auto" w:val="clear"/>
          <w:vertAlign w:val="baseline"/>
          <w:rtl w:val="0"/>
        </w:rPr>
        <w:t xml:space="preserve">       MANAGEMENT POLICY</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1"/>
          <w:i w:val="0"/>
          <w:smallCaps w:val="0"/>
          <w:strike w:val="0"/>
          <w:color w:val="000000"/>
          <w:sz w:val="52"/>
          <w:szCs w:val="5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1"/>
          <w:i w:val="0"/>
          <w:smallCaps w:val="0"/>
          <w:strike w:val="0"/>
          <w:color w:val="000000"/>
          <w:sz w:val="52"/>
          <w:szCs w:val="5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1"/>
          <w:i w:val="0"/>
          <w:smallCaps w:val="0"/>
          <w:strike w:val="0"/>
          <w:color w:val="000000"/>
          <w:sz w:val="52"/>
          <w:szCs w:val="52"/>
          <w:u w:val="none"/>
          <w:shd w:fill="auto" w:val="clear"/>
          <w:vertAlign w:val="baseline"/>
        </w:rPr>
      </w:pPr>
      <w:r w:rsidDel="00000000" w:rsidR="00000000" w:rsidRPr="00000000">
        <w:rPr>
          <w:rFonts w:ascii="Arial" w:cs="Arial" w:eastAsia="Arial" w:hAnsi="Arial"/>
          <w:b w:val="1"/>
          <w:i w:val="0"/>
          <w:smallCaps w:val="0"/>
          <w:strike w:val="0"/>
          <w:color w:val="000000"/>
          <w:sz w:val="52"/>
          <w:szCs w:val="52"/>
          <w:u w:val="none"/>
          <w:shd w:fill="auto" w:val="clear"/>
          <w:vertAlign w:val="baseline"/>
          <w:rtl w:val="0"/>
        </w:rPr>
        <w:t xml:space="preserve">       202</w:t>
      </w:r>
      <w:r w:rsidDel="00000000" w:rsidR="00000000" w:rsidRPr="00000000">
        <w:rPr>
          <w:b w:val="1"/>
          <w:sz w:val="52"/>
          <w:szCs w:val="52"/>
          <w:rtl w:val="0"/>
        </w:rPr>
        <w:t xml:space="preserve">3</w:t>
      </w:r>
      <w:r w:rsidDel="00000000" w:rsidR="00000000" w:rsidRPr="00000000">
        <w:rPr>
          <w:rFonts w:ascii="Arial" w:cs="Arial" w:eastAsia="Arial" w:hAnsi="Arial"/>
          <w:b w:val="1"/>
          <w:i w:val="0"/>
          <w:smallCaps w:val="0"/>
          <w:strike w:val="0"/>
          <w:color w:val="000000"/>
          <w:sz w:val="52"/>
          <w:szCs w:val="52"/>
          <w:u w:val="none"/>
          <w:shd w:fill="auto" w:val="clear"/>
          <w:vertAlign w:val="baseline"/>
          <w:rtl w:val="0"/>
        </w:rPr>
        <w:t xml:space="preserve">/202</w:t>
      </w:r>
      <w:r w:rsidDel="00000000" w:rsidR="00000000" w:rsidRPr="00000000">
        <w:rPr>
          <w:b w:val="1"/>
          <w:sz w:val="52"/>
          <w:szCs w:val="52"/>
          <w:rtl w:val="0"/>
        </w:rPr>
        <w:t xml:space="preserve">4</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2276475</wp:posOffset>
            </wp:positionH>
            <wp:positionV relativeFrom="paragraph">
              <wp:posOffset>0</wp:posOffset>
            </wp:positionV>
            <wp:extent cx="2352675" cy="2221865"/>
            <wp:effectExtent b="0" l="0" r="0" t="0"/>
            <wp:wrapSquare wrapText="bothSides" distB="0" distT="0" distL="114300" distR="114300"/>
            <wp:docPr id="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2352675" cy="2221865"/>
                    </a:xfrm>
                    <a:prstGeom prst="rect"/>
                    <a:ln/>
                  </pic:spPr>
                </pic:pic>
              </a:graphicData>
            </a:graphic>
          </wp:anchor>
        </w:drawing>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cf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1"/>
        <w:tblW w:w="8472.0" w:type="dxa"/>
        <w:jc w:val="left"/>
        <w:tblInd w:w="-108.0" w:type="dxa"/>
        <w:tblBorders>
          <w:top w:color="000000" w:space="0" w:sz="0" w:val="nil"/>
          <w:left w:color="000000" w:space="0" w:sz="0" w:val="nil"/>
          <w:bottom w:color="000000" w:space="0" w:sz="0" w:val="nil"/>
          <w:right w:color="000000" w:space="0" w:sz="0" w:val="nil"/>
          <w:insideH w:color="ffffff" w:space="0" w:sz="18" w:val="single"/>
          <w:insideV w:color="000000" w:space="0" w:sz="0" w:val="nil"/>
        </w:tblBorders>
        <w:tblLayout w:type="fixed"/>
        <w:tblLook w:val="0000"/>
      </w:tblPr>
      <w:tblGrid>
        <w:gridCol w:w="2254"/>
        <w:gridCol w:w="2848"/>
        <w:gridCol w:w="3370"/>
        <w:tblGridChange w:id="0">
          <w:tblGrid>
            <w:gridCol w:w="2254"/>
            <w:gridCol w:w="2848"/>
            <w:gridCol w:w="3370"/>
          </w:tblGrid>
        </w:tblGridChange>
      </w:tblGrid>
      <w:tr>
        <w:trPr>
          <w:cantSplit w:val="0"/>
          <w:trHeight w:val="228" w:hRule="atLeast"/>
          <w:tblHeader w:val="0"/>
        </w:trPr>
        <w:tc>
          <w:tcPr>
            <w:tcBorders>
              <w:top w:color="000000" w:space="0" w:sz="0" w:val="nil"/>
              <w:bottom w:color="ffffff" w:space="0" w:sz="18" w:val="single"/>
            </w:tcBorders>
            <w:shd w:fill="d8dfde" w:val="clear"/>
            <w:vAlign w:val="top"/>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Approved by Governors :</w:t>
            </w:r>
            <w:r w:rsidDel="00000000" w:rsidR="00000000" w:rsidRPr="00000000">
              <w:rPr>
                <w:rtl w:val="0"/>
              </w:rPr>
            </w:r>
          </w:p>
        </w:tc>
        <w:tc>
          <w:tcPr>
            <w:tcBorders>
              <w:top w:color="000000" w:space="0" w:sz="0" w:val="nil"/>
              <w:bottom w:color="ffffff" w:space="0" w:sz="18" w:val="single"/>
            </w:tcBorders>
            <w:shd w:fill="d8dfde" w:val="clear"/>
            <w:vAlign w:val="top"/>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right"/>
              <w:rPr>
                <w:rFonts w:ascii="Arial" w:cs="Arial" w:eastAsia="Arial" w:hAnsi="Arial"/>
                <w:b w:val="0"/>
                <w:i w:val="0"/>
                <w:smallCaps w:val="0"/>
                <w:strike w:val="0"/>
                <w:color w:val="000000"/>
                <w:sz w:val="20"/>
                <w:szCs w:val="20"/>
                <w:highlight w:val="yellow"/>
                <w:u w:val="none"/>
                <w:vertAlign w:val="baseline"/>
              </w:rPr>
            </w:pP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[Name]</w:t>
            </w:r>
          </w:p>
        </w:tc>
        <w:tc>
          <w:tcPr>
            <w:tcBorders>
              <w:top w:color="000000" w:space="0" w:sz="0" w:val="nil"/>
              <w:bottom w:color="ffffff" w:space="0" w:sz="18" w:val="single"/>
            </w:tcBorders>
            <w:shd w:fill="d8dfde" w:val="clear"/>
            <w:vAlign w:val="top"/>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Date: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[Date]</w:t>
            </w:r>
            <w:r w:rsidDel="00000000" w:rsidR="00000000" w:rsidRPr="00000000">
              <w:rPr>
                <w:rtl w:val="0"/>
              </w:rPr>
            </w:r>
          </w:p>
        </w:tc>
      </w:tr>
      <w:tr>
        <w:trPr>
          <w:cantSplit w:val="0"/>
          <w:trHeight w:val="228" w:hRule="atLeast"/>
          <w:tblHeader w:val="0"/>
        </w:trPr>
        <w:tc>
          <w:tcPr>
            <w:tcBorders>
              <w:top w:color="ffffff" w:space="0" w:sz="18" w:val="single"/>
              <w:bottom w:color="ffffff" w:space="0" w:sz="18" w:val="single"/>
            </w:tcBorders>
            <w:shd w:fill="d8dfde" w:val="clear"/>
            <w:vAlign w:val="top"/>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Next review due by:</w:t>
            </w:r>
            <w:r w:rsidDel="00000000" w:rsidR="00000000" w:rsidRPr="00000000">
              <w:rPr>
                <w:rtl w:val="0"/>
              </w:rPr>
            </w:r>
          </w:p>
        </w:tc>
        <w:tc>
          <w:tcPr>
            <w:gridSpan w:val="2"/>
            <w:tcBorders>
              <w:top w:color="ffffff" w:space="0" w:sz="18" w:val="single"/>
              <w:bottom w:color="ffffff" w:space="0" w:sz="18" w:val="single"/>
            </w:tcBorders>
            <w:shd w:fill="d8dfde" w:val="clear"/>
            <w:vAlign w:val="top"/>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right"/>
              <w:rPr>
                <w:rFonts w:ascii="Arial" w:cs="Arial" w:eastAsia="Arial" w:hAnsi="Arial"/>
                <w:b w:val="0"/>
                <w:i w:val="0"/>
                <w:smallCaps w:val="0"/>
                <w:strike w:val="0"/>
                <w:color w:val="000000"/>
                <w:sz w:val="20"/>
                <w:szCs w:val="20"/>
                <w:highlight w:val="yellow"/>
                <w:u w:val="none"/>
                <w:vertAlign w:val="baseline"/>
              </w:rPr>
            </w:pP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[Date]                                         ANNUAL </w:t>
            </w:r>
          </w:p>
        </w:tc>
      </w:tr>
    </w:tbl>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rPr>
          <w:b w:val="0"/>
          <w:vertAlign w:val="baseline"/>
        </w:rPr>
      </w:pPr>
      <w:r w:rsidDel="00000000" w:rsidR="00000000" w:rsidRPr="00000000">
        <w:rPr>
          <w:rtl w:val="0"/>
        </w:rPr>
      </w:r>
    </w:p>
    <w:p w:rsidR="00000000" w:rsidDel="00000000" w:rsidP="00000000" w:rsidRDefault="00000000" w:rsidRPr="00000000" w14:paraId="00000028">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rial" w:cs="Arial" w:eastAsia="Arial" w:hAnsi="Arial"/>
          <w:b w:val="0"/>
          <w:i w:val="0"/>
          <w:smallCaps w:val="0"/>
          <w:strike w:val="0"/>
          <w:color w:val="0d1c2f"/>
          <w:sz w:val="28"/>
          <w:szCs w:val="28"/>
          <w:u w:val="none"/>
          <w:shd w:fill="auto" w:val="clear"/>
          <w:vertAlign w:val="baseline"/>
        </w:rPr>
      </w:pPr>
      <w:r w:rsidDel="00000000" w:rsidR="00000000" w:rsidRPr="00000000">
        <w:rPr>
          <w:rFonts w:ascii="Arial" w:cs="Arial" w:eastAsia="Arial" w:hAnsi="Arial"/>
          <w:b w:val="1"/>
          <w:i w:val="0"/>
          <w:smallCaps w:val="0"/>
          <w:strike w:val="0"/>
          <w:color w:val="0d1c2f"/>
          <w:sz w:val="28"/>
          <w:szCs w:val="28"/>
          <w:u w:val="none"/>
          <w:shd w:fill="auto" w:val="clear"/>
          <w:vertAlign w:val="baseline"/>
          <w:rtl w:val="0"/>
        </w:rPr>
        <w:t xml:space="preserve">Contents</w:t>
      </w: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1fob9te">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 Aims</w:t>
              <w:tab/>
              <w:t xml:space="preserve">3</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i7ojhp">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 Guidance</w:t>
              <w:tab/>
              <w:t xml:space="preserve">3</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xcytpi">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 Roles and responsibilities</w:t>
              <w:tab/>
              <w:t xml:space="preserve">4</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ci93xb">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4. Inspection and testing</w:t>
              <w:tab/>
              <w:t xml:space="preserve">4</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whwml4">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 Risk assessments and other checks</w:t>
              <w:tab/>
              <w:t xml:space="preserve">8</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bn6wsx">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6. Monitoring arrangements</w:t>
              <w:tab/>
              <w:t xml:space="preserve">9</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qsh70q">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7. Links with other policies</w:t>
              <w:tab/>
              <w:t xml:space="preserve">9</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bookmarkStart w:colFirst="0" w:colLast="0" w:name="_heading=h.gjdgxs" w:id="1"/>
      <w:bookmarkEnd w:id="1"/>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0" cy="12700"/>
                <wp:effectExtent b="0" l="0" r="0" t="0"/>
                <wp:wrapNone/>
                <wp:docPr id="1" name=""/>
                <a:graphic>
                  <a:graphicData uri="http://schemas.microsoft.com/office/word/2010/wordprocessingShape">
                    <wps:wsp>
                      <wps:cNvCnPr/>
                      <wps:spPr>
                        <a:xfrm>
                          <a:off x="2266474" y="3780000"/>
                          <a:ext cx="6159052" cy="0"/>
                        </a:xfrm>
                        <a:prstGeom prst="straightConnector1">
                          <a:avLst/>
                        </a:prstGeom>
                        <a:noFill/>
                        <a:ln cap="flat" cmpd="sng" w="12700">
                          <a:solidFill>
                            <a:srgbClr val="12263F"/>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0" cy="12700"/>
                <wp:effectExtent b="0" l="0" r="0" t="0"/>
                <wp:wrapNone/>
                <wp:docPr id="1"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bookmarkStart w:colFirst="0" w:colLast="0" w:name="_heading=h.30j0zll" w:id="2"/>
      <w:bookmarkEnd w:id="2"/>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Department for Education’s (DfE’s) guidance on </w:t>
      </w:r>
      <w:hyperlink r:id="rId9">
        <w:r w:rsidDel="00000000" w:rsidR="00000000" w:rsidRPr="00000000">
          <w:rPr>
            <w:rFonts w:ascii="Arial" w:cs="Arial" w:eastAsia="Arial" w:hAnsi="Arial"/>
            <w:b w:val="0"/>
            <w:i w:val="0"/>
            <w:smallCaps w:val="0"/>
            <w:strike w:val="0"/>
            <w:color w:val="0072cc"/>
            <w:sz w:val="24"/>
            <w:szCs w:val="24"/>
            <w:u w:val="single"/>
            <w:shd w:fill="auto" w:val="clear"/>
            <w:vertAlign w:val="baseline"/>
            <w:rtl w:val="0"/>
          </w:rPr>
          <w:t xml:space="preserve">statutory policies for schools</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includes ‘premises management documents’. It says that many aspects of school premises require safe management and maintenance, including asbestos, fire safety and statutory testing.</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There isn’t a definitive list of the documents required by schools in relation to premises management, as this will vary depending on your particular circumstances. You may already incorporate relevant duties into your health and safety policies and/or risk assessments. However, you may decide to use a premises management policy to set out your approach.</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This model policy is based on the DfE’s guidance on good estate management. It’s not intended to be exhaustive, and may not reflect the individual circumstances of your school.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You should always seek legal advice to make sure you’re compliant with all regulations that may apply to your particular circumstances.</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bookmarkStart w:colFirst="0" w:colLast="0" w:name="_heading=h.1fob9te" w:id="3"/>
      <w:bookmarkEnd w:id="3"/>
      <w:r w:rsidDel="00000000" w:rsidR="00000000" w:rsidRPr="00000000">
        <w:rPr>
          <w:rtl w:val="0"/>
        </w:rPr>
      </w:r>
    </w:p>
    <w:p w:rsidR="00000000" w:rsidDel="00000000" w:rsidP="00000000" w:rsidRDefault="00000000" w:rsidRPr="00000000" w14:paraId="00000036">
      <w:pPr>
        <w:pStyle w:val="Heading1"/>
        <w:rPr>
          <w:color w:val="000000"/>
          <w:vertAlign w:val="baseline"/>
        </w:rPr>
      </w:pPr>
      <w:r w:rsidDel="00000000" w:rsidR="00000000" w:rsidRPr="00000000">
        <w:rPr>
          <w:b w:val="1"/>
          <w:color w:val="000000"/>
          <w:vertAlign w:val="baseline"/>
          <w:rtl w:val="0"/>
        </w:rPr>
        <w:t xml:space="preserve">1. Aims</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Our school aims to ensure that it:</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Manages its buildings and equipment in an efficient, legally compliant way </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Inspects and tests buildings and equipment regularly, taking into account statutory requirements and best practice recommendations</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both"/>
        <w:rPr>
          <w:rFonts w:ascii="Arial" w:cs="Arial" w:eastAsia="Arial" w:hAnsi="Arial"/>
          <w:b w:val="0"/>
          <w:i w:val="0"/>
          <w:smallCaps w:val="0"/>
          <w:strike w:val="0"/>
          <w:color w:val="000000"/>
          <w:sz w:val="20"/>
          <w:szCs w:val="20"/>
          <w:u w:val="none"/>
          <w:shd w:fill="auto" w:val="clear"/>
          <w:vertAlign w:val="baseline"/>
        </w:rPr>
      </w:pPr>
      <w:bookmarkStart w:colFirst="0" w:colLast="0" w:name="_heading=h.3znysh7" w:id="4"/>
      <w:bookmarkEnd w:id="4"/>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Promotes the safety and wellbeing of our staff, pupils, parents and visitors through effective maintenance of buildings and equipment in accordance with the </w:t>
      </w:r>
      <w:hyperlink r:id="rId10">
        <w:r w:rsidDel="00000000" w:rsidR="00000000" w:rsidRPr="00000000">
          <w:rPr>
            <w:rFonts w:ascii="Arial" w:cs="Arial" w:eastAsia="Arial" w:hAnsi="Arial"/>
            <w:b w:val="1"/>
            <w:i w:val="0"/>
            <w:smallCaps w:val="0"/>
            <w:strike w:val="0"/>
            <w:color w:val="000000"/>
            <w:sz w:val="20"/>
            <w:szCs w:val="20"/>
            <w:u w:val="single"/>
            <w:shd w:fill="auto" w:val="clear"/>
            <w:vertAlign w:val="baseline"/>
            <w:rtl w:val="0"/>
          </w:rPr>
          <w:t xml:space="preserve">Health and Safety at Work etc. Act 1974</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340" w:right="0" w:hanging="170"/>
        <w:jc w:val="both"/>
        <w:rPr>
          <w:rFonts w:ascii="Arial" w:cs="Arial" w:eastAsia="Arial" w:hAnsi="Arial"/>
          <w:b w:val="0"/>
          <w:i w:val="0"/>
          <w:smallCaps w:val="0"/>
          <w:strike w:val="0"/>
          <w:color w:val="000000"/>
          <w:sz w:val="20"/>
          <w:szCs w:val="20"/>
          <w:u w:val="none"/>
          <w:shd w:fill="auto" w:val="clear"/>
          <w:vertAlign w:val="baseline"/>
        </w:rPr>
      </w:pPr>
      <w:bookmarkStart w:colFirst="0" w:colLast="0" w:name="_heading=h.2et92p0" w:id="5"/>
      <w:bookmarkEnd w:id="5"/>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Maintained schools: Complies with the requirements of the </w:t>
      </w:r>
      <w:hyperlink r:id="rId11">
        <w:r w:rsidDel="00000000" w:rsidR="00000000" w:rsidRPr="00000000">
          <w:rPr>
            <w:rFonts w:ascii="Arial" w:cs="Arial" w:eastAsia="Arial" w:hAnsi="Arial"/>
            <w:b w:val="1"/>
            <w:i w:val="0"/>
            <w:smallCaps w:val="0"/>
            <w:strike w:val="0"/>
            <w:color w:val="000000"/>
            <w:sz w:val="20"/>
            <w:szCs w:val="20"/>
            <w:u w:val="single"/>
            <w:shd w:fill="auto" w:val="clear"/>
            <w:vertAlign w:val="baseline"/>
            <w:rtl w:val="0"/>
          </w:rPr>
          <w:t xml:space="preserve">The School Premises (England) Regulations 2012</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both"/>
        <w:rPr>
          <w:rFonts w:ascii="Arial" w:cs="Arial" w:eastAsia="Arial" w:hAnsi="Arial"/>
          <w:b w:val="0"/>
          <w:i w:val="0"/>
          <w:smallCaps w:val="0"/>
          <w:strike w:val="0"/>
          <w:color w:val="000000"/>
          <w:sz w:val="20"/>
          <w:szCs w:val="20"/>
          <w:u w:val="none"/>
          <w:shd w:fill="auto" w:val="clear"/>
          <w:vertAlign w:val="baseline"/>
        </w:rPr>
      </w:pPr>
      <w:bookmarkStart w:colFirst="0" w:colLast="0" w:name="_heading=h.tyjcwt" w:id="6"/>
      <w:bookmarkEnd w:id="6"/>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If your school has an Early Years Foundation Stage (EYFS) setting: Complies with the requirements of the </w:t>
      </w:r>
      <w:hyperlink r:id="rId12">
        <w:r w:rsidDel="00000000" w:rsidR="00000000" w:rsidRPr="00000000">
          <w:rPr>
            <w:rFonts w:ascii="Arial" w:cs="Arial" w:eastAsia="Arial" w:hAnsi="Arial"/>
            <w:b w:val="1"/>
            <w:i w:val="0"/>
            <w:smallCaps w:val="0"/>
            <w:strike w:val="0"/>
            <w:color w:val="000000"/>
            <w:sz w:val="20"/>
            <w:szCs w:val="20"/>
            <w:u w:val="single"/>
            <w:shd w:fill="auto" w:val="clear"/>
            <w:vertAlign w:val="baseline"/>
            <w:rtl w:val="0"/>
          </w:rPr>
          <w:t xml:space="preserve">statutory framework for the EYFS</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i w:val="0"/>
          <w:smallCaps w:val="0"/>
          <w:strike w:val="0"/>
          <w:color w:val="000000"/>
          <w:sz w:val="20"/>
          <w:szCs w:val="20"/>
          <w:u w:val="none"/>
          <w:shd w:fill="auto" w:val="clear"/>
          <w:vertAlign w:val="baseline"/>
        </w:rPr>
      </w:pPr>
      <w:bookmarkStart w:colFirst="0" w:colLast="0" w:name="_heading=h.3dy6vkm" w:id="7"/>
      <w:bookmarkEnd w:id="7"/>
      <w:r w:rsidDel="00000000" w:rsidR="00000000" w:rsidRPr="00000000">
        <w:rPr>
          <w:rtl w:val="0"/>
        </w:rPr>
      </w:r>
    </w:p>
    <w:p w:rsidR="00000000" w:rsidDel="00000000" w:rsidP="00000000" w:rsidRDefault="00000000" w:rsidRPr="00000000" w14:paraId="0000003E">
      <w:pPr>
        <w:pStyle w:val="Heading1"/>
        <w:rPr>
          <w:color w:val="000000"/>
          <w:vertAlign w:val="baseline"/>
        </w:rPr>
      </w:pPr>
      <w:r w:rsidDel="00000000" w:rsidR="00000000" w:rsidRPr="00000000">
        <w:rPr>
          <w:b w:val="1"/>
          <w:color w:val="000000"/>
          <w:vertAlign w:val="baseline"/>
          <w:rtl w:val="0"/>
        </w:rPr>
        <w:t xml:space="preserve">2. Guidance</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bookmarkStart w:colFirst="0" w:colLast="0" w:name="_heading=h.1t3h5sf" w:id="8"/>
      <w:bookmarkEnd w:id="8"/>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This document is based on the Department for Education’s guidance on </w:t>
      </w:r>
      <w:hyperlink r:id="rId13">
        <w:r w:rsidDel="00000000" w:rsidR="00000000" w:rsidRPr="00000000">
          <w:rPr>
            <w:rFonts w:ascii="Arial" w:cs="Arial" w:eastAsia="Arial" w:hAnsi="Arial"/>
            <w:b w:val="0"/>
            <w:i w:val="0"/>
            <w:smallCaps w:val="0"/>
            <w:strike w:val="0"/>
            <w:color w:val="0072cc"/>
            <w:sz w:val="20"/>
            <w:szCs w:val="20"/>
            <w:u w:val="single"/>
            <w:shd w:fill="auto" w:val="clear"/>
            <w:vertAlign w:val="baseline"/>
            <w:rtl w:val="0"/>
          </w:rPr>
          <w:t xml:space="preserve">good estate management for schools</w:t>
        </w:r>
      </w:hyperlink>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bookmarkStart w:colFirst="0" w:colLast="0" w:name="_heading=h.4d34og8" w:id="9"/>
      <w:bookmarkEnd w:id="9"/>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3. ROLES AND RESPONSIBILITIES</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Adapt this section if necessary, in line with how your school approaches premises management and the delegation of responsibilities for it. Please note:</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For maintained schools, both local authorities (LAs) and schools have responsibilities for the repair and maintenance of premises. If you’re a maintained school, check with your LA to confirm any procedures or policies which may be specific to your LA</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highlight w:val="yellow"/>
          <w:u w:val="none"/>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governing board, headteacher and site manager will ensure this premises management policy is properly implemented, and that tests and inspections are carried out in accordance with this policy. </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headteacher and site manager are responsible for ensuring relevant risk assessments are conducted and for reporting to the governing board, as required.</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site manager is responsible for:</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Inspecting and maintaining the school premises</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Conducting repairs and maintenance</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Being the first point of contact for any issues with the premises</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Conducting and keeping a record of risk assessments and incident logs related to the school premises</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Liaising with the headteacher about what actions need to be taken to keep the school premises safe</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This list is not intended to be exhaustive.</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bookmarkStart w:colFirst="0" w:colLast="0" w:name="_heading=h.2s8eyo1" w:id="10"/>
      <w:bookmarkEnd w:id="10"/>
      <w:r w:rsidDel="00000000" w:rsidR="00000000" w:rsidRPr="00000000">
        <w:rPr>
          <w:rtl w:val="0"/>
        </w:rPr>
      </w:r>
    </w:p>
    <w:p w:rsidR="00000000" w:rsidDel="00000000" w:rsidP="00000000" w:rsidRDefault="00000000" w:rsidRPr="00000000" w14:paraId="0000004E">
      <w:pPr>
        <w:pStyle w:val="Heading1"/>
        <w:rPr>
          <w:color w:val="000000"/>
          <w:sz w:val="24"/>
          <w:szCs w:val="24"/>
          <w:vertAlign w:val="baseline"/>
        </w:rPr>
      </w:pPr>
      <w:r w:rsidDel="00000000" w:rsidR="00000000" w:rsidRPr="00000000">
        <w:rPr>
          <w:b w:val="1"/>
          <w:color w:val="000000"/>
          <w:sz w:val="24"/>
          <w:szCs w:val="24"/>
          <w:vertAlign w:val="baseline"/>
          <w:rtl w:val="0"/>
        </w:rPr>
        <w:t xml:space="preserve">4. INSPECTION AND TESTING</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We maintain accurate records and details of all statutory tests which are undertaken at our premises. This includes relevant paperwork and certificates.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All requirements and recommendations highlighted in inspection reports and certificates are reviewed and acted on as necessary.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As part of the records of completed works, we include the dates when the works were undertaken and the details of the individual or company who completed them, along with their qualifications/certifications and/or experience.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bookmarkStart w:colFirst="0" w:colLast="0" w:name="_heading=h.17dp8vu" w:id="11"/>
      <w:bookmarkEnd w:id="11"/>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table below sets out the issues we inspect, the inspection frequency, and the person responsible for checking each issue and, where appropriate, engaging a suitably qualified person to carry out inspection, testing or maintenance. It covers statutory checks as well as recommended good practice checks from relevant guidance. It is based on the Department for Education’s </w:t>
      </w:r>
      <w:hyperlink r:id="rId14">
        <w:r w:rsidDel="00000000" w:rsidR="00000000" w:rsidRPr="00000000">
          <w:rPr>
            <w:rFonts w:ascii="Arial" w:cs="Arial" w:eastAsia="Arial" w:hAnsi="Arial"/>
            <w:b w:val="0"/>
            <w:i w:val="0"/>
            <w:smallCaps w:val="0"/>
            <w:strike w:val="0"/>
            <w:color w:val="0072cc"/>
            <w:sz w:val="24"/>
            <w:szCs w:val="24"/>
            <w:u w:val="single"/>
            <w:shd w:fill="auto" w:val="clear"/>
            <w:vertAlign w:val="baseline"/>
            <w:rtl w:val="0"/>
          </w:rPr>
          <w:t xml:space="preserve">guidance on good estate management for schools</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rPr>
          <w:vertAlign w:val="baseline"/>
        </w:rPr>
      </w:pPr>
      <w:r w:rsidDel="00000000" w:rsidR="00000000" w:rsidRPr="00000000">
        <w:rPr>
          <w:rtl w:val="0"/>
        </w:rPr>
      </w:r>
    </w:p>
    <w:tbl>
      <w:tblPr>
        <w:tblStyle w:val="Table2"/>
        <w:tblW w:w="9720.0" w:type="dxa"/>
        <w:jc w:val="left"/>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3120"/>
        <w:gridCol w:w="3339"/>
        <w:gridCol w:w="3261"/>
        <w:tblGridChange w:id="0">
          <w:tblGrid>
            <w:gridCol w:w="3120"/>
            <w:gridCol w:w="3339"/>
            <w:gridCol w:w="3261"/>
          </w:tblGrid>
        </w:tblGridChange>
      </w:tblGrid>
      <w:tr>
        <w:trPr>
          <w:cantSplit w:val="1"/>
          <w:tblHeader w:val="1"/>
        </w:trPr>
        <w:tc>
          <w:tcPr>
            <w:tcBorders>
              <w:top w:color="b9b9b9" w:space="0" w:sz="4" w:val="single"/>
              <w:left w:color="b9b9b9" w:space="0" w:sz="4" w:val="single"/>
              <w:bottom w:color="b9b9b9" w:space="0" w:sz="4" w:val="single"/>
              <w:right w:color="b9b9b9" w:space="0" w:sz="4" w:val="single"/>
            </w:tcBorders>
            <w:shd w:fill="d8dfde" w:val="clear"/>
            <w:vAlign w:val="top"/>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1"/>
                <w:strike w:val="0"/>
                <w:color w:val="000000"/>
                <w:sz w:val="20"/>
                <w:szCs w:val="20"/>
                <w:u w:val="none"/>
                <w:shd w:fill="auto" w:val="clear"/>
                <w:vertAlign w:val="baseline"/>
                <w:rtl w:val="0"/>
              </w:rPr>
              <w:t xml:space="preserve">ISSUE TO INSPECT</w:t>
            </w:r>
            <w:r w:rsidDel="00000000" w:rsidR="00000000" w:rsidRPr="00000000">
              <w:rPr>
                <w:rtl w:val="0"/>
              </w:rPr>
            </w:r>
          </w:p>
        </w:tc>
        <w:tc>
          <w:tcPr>
            <w:tcBorders>
              <w:top w:color="b9b9b9" w:space="0" w:sz="4" w:val="single"/>
              <w:left w:color="b9b9b9" w:space="0" w:sz="4" w:val="single"/>
              <w:bottom w:color="b9b9b9" w:space="0" w:sz="4" w:val="single"/>
              <w:right w:color="b9b9b9" w:space="0" w:sz="4" w:val="single"/>
            </w:tcBorders>
            <w:shd w:fill="d8dfde" w:val="clear"/>
            <w:vAlign w:val="top"/>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1"/>
                <w:strike w:val="0"/>
                <w:color w:val="000000"/>
                <w:sz w:val="20"/>
                <w:szCs w:val="20"/>
                <w:u w:val="none"/>
                <w:shd w:fill="auto" w:val="clear"/>
                <w:vertAlign w:val="baseline"/>
                <w:rtl w:val="0"/>
              </w:rPr>
              <w:t xml:space="preserve">FREQUENCY</w:t>
            </w:r>
            <w:r w:rsidDel="00000000" w:rsidR="00000000" w:rsidRPr="00000000">
              <w:rPr>
                <w:rtl w:val="0"/>
              </w:rPr>
            </w:r>
          </w:p>
        </w:tc>
        <w:tc>
          <w:tcPr>
            <w:tcBorders>
              <w:top w:color="b9b9b9" w:space="0" w:sz="4" w:val="single"/>
              <w:left w:color="b9b9b9" w:space="0" w:sz="4" w:val="single"/>
              <w:bottom w:color="b9b9b9" w:space="0" w:sz="4" w:val="single"/>
              <w:right w:color="b9b9b9" w:space="0" w:sz="4" w:val="single"/>
            </w:tcBorders>
            <w:shd w:fill="d8dfde" w:val="clear"/>
            <w:vAlign w:val="top"/>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1"/>
                <w:strike w:val="0"/>
                <w:color w:val="000000"/>
                <w:sz w:val="20"/>
                <w:szCs w:val="20"/>
                <w:u w:val="none"/>
                <w:shd w:fill="auto" w:val="clear"/>
                <w:vertAlign w:val="baseline"/>
                <w:rtl w:val="0"/>
              </w:rPr>
              <w:t xml:space="preserve">PERSON RESPONSIBLE</w:t>
            </w:r>
            <w:r w:rsidDel="00000000" w:rsidR="00000000" w:rsidRPr="00000000">
              <w:rPr>
                <w:rtl w:val="0"/>
              </w:rPr>
            </w:r>
          </w:p>
        </w:tc>
      </w:tr>
      <w:tr>
        <w:trPr>
          <w:cantSplit w:val="1"/>
          <w:tblHeader w:val="0"/>
        </w:trPr>
        <w:tc>
          <w:tcPr>
            <w:vAlign w:val="top"/>
          </w:tcPr>
          <w:p w:rsidR="00000000" w:rsidDel="00000000" w:rsidP="00000000" w:rsidRDefault="00000000" w:rsidRPr="00000000" w14:paraId="0000005A">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Portable appliance testing (PAT)</w:t>
            </w:r>
          </w:p>
        </w:tc>
        <w:tc>
          <w:tcPr>
            <w:vAlign w:val="top"/>
          </w:tcPr>
          <w:p w:rsidR="00000000" w:rsidDel="00000000" w:rsidP="00000000" w:rsidRDefault="00000000" w:rsidRPr="00000000" w14:paraId="0000005B">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Variable, according to risk and how the equipment is constructed.</w:t>
            </w:r>
          </w:p>
          <w:p w:rsidR="00000000" w:rsidDel="00000000" w:rsidP="00000000" w:rsidRDefault="00000000" w:rsidRPr="00000000" w14:paraId="0000005C">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Regular visual inspections where PAT is not required.</w:t>
            </w:r>
          </w:p>
          <w:p w:rsidR="00000000" w:rsidDel="00000000" w:rsidP="00000000" w:rsidRDefault="00000000" w:rsidRPr="00000000" w14:paraId="0000005D">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bookmarkStart w:colFirst="0" w:colLast="0" w:name="_heading=h.3rdcrjn" w:id="12"/>
            <w:bookmarkEnd w:id="12"/>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We will refer to </w:t>
            </w:r>
            <w:hyperlink r:id="rId15">
              <w:r w:rsidDel="00000000" w:rsidR="00000000" w:rsidRPr="00000000">
                <w:rPr>
                  <w:rFonts w:ascii="Arial" w:cs="Arial" w:eastAsia="Arial" w:hAnsi="Arial"/>
                  <w:b w:val="0"/>
                  <w:i w:val="0"/>
                  <w:smallCaps w:val="0"/>
                  <w:strike w:val="0"/>
                  <w:color w:val="0072cc"/>
                  <w:sz w:val="20"/>
                  <w:szCs w:val="20"/>
                  <w:u w:val="single"/>
                  <w:shd w:fill="auto" w:val="clear"/>
                  <w:vertAlign w:val="baseline"/>
                  <w:rtl w:val="0"/>
                </w:rPr>
                <w:t xml:space="preserve">HSE guidance</w:t>
              </w:r>
            </w:hyperlink>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on maintaining portable electric equipment for suggested intervals and types of testing/inspection.</w:t>
            </w:r>
          </w:p>
        </w:tc>
        <w:tc>
          <w:tcPr>
            <w:vAlign w:val="top"/>
          </w:tcPr>
          <w:p w:rsidR="00000000" w:rsidDel="00000000" w:rsidP="00000000" w:rsidRDefault="00000000" w:rsidRPr="00000000" w14:paraId="0000005E">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Teresa van Oss </w:t>
            </w:r>
          </w:p>
        </w:tc>
      </w:tr>
      <w:tr>
        <w:trPr>
          <w:cantSplit w:val="1"/>
          <w:tblHeader w:val="0"/>
        </w:trPr>
        <w:tc>
          <w:tcPr>
            <w:vAlign w:val="top"/>
          </w:tcPr>
          <w:p w:rsidR="00000000" w:rsidDel="00000000" w:rsidP="00000000" w:rsidRDefault="00000000" w:rsidRPr="00000000" w14:paraId="0000005F">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Fixed electrical installation tests (including lightning conductors)</w:t>
            </w:r>
          </w:p>
        </w:tc>
        <w:tc>
          <w:tcPr>
            <w:vAlign w:val="top"/>
          </w:tcPr>
          <w:p w:rsidR="00000000" w:rsidDel="00000000" w:rsidP="00000000" w:rsidRDefault="00000000" w:rsidRPr="00000000" w14:paraId="00000060">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Variable, according to the number and severity of faults found at last inspection.</w:t>
            </w:r>
          </w:p>
          <w:p w:rsidR="00000000" w:rsidDel="00000000" w:rsidP="00000000" w:rsidRDefault="00000000" w:rsidRPr="00000000" w14:paraId="00000061">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Inspection and testing always carried out by a competent person.</w:t>
            </w:r>
          </w:p>
        </w:tc>
        <w:tc>
          <w:tcPr>
            <w:vAlign w:val="top"/>
          </w:tcPr>
          <w:p w:rsidR="00000000" w:rsidDel="00000000" w:rsidP="00000000" w:rsidRDefault="00000000" w:rsidRPr="00000000" w14:paraId="00000062">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Headteacher </w:t>
            </w:r>
          </w:p>
          <w:p w:rsidR="00000000" w:rsidDel="00000000" w:rsidP="00000000" w:rsidRDefault="00000000" w:rsidRPr="00000000" w14:paraId="00000063">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SBM </w:t>
            </w:r>
          </w:p>
        </w:tc>
      </w:tr>
      <w:tr>
        <w:trPr>
          <w:cantSplit w:val="1"/>
          <w:tblHeader w:val="0"/>
        </w:trPr>
        <w:tc>
          <w:tcPr>
            <w:vAlign w:val="top"/>
          </w:tcPr>
          <w:p w:rsidR="00000000" w:rsidDel="00000000" w:rsidP="00000000" w:rsidRDefault="00000000" w:rsidRPr="00000000" w14:paraId="00000064">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Emergency lighting</w:t>
            </w:r>
          </w:p>
        </w:tc>
        <w:tc>
          <w:tcPr>
            <w:vAlign w:val="top"/>
          </w:tcPr>
          <w:p w:rsidR="00000000" w:rsidDel="00000000" w:rsidP="00000000" w:rsidRDefault="00000000" w:rsidRPr="00000000" w14:paraId="00000065">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Monthly flash test.</w:t>
            </w:r>
          </w:p>
          <w:p w:rsidR="00000000" w:rsidDel="00000000" w:rsidP="00000000" w:rsidRDefault="00000000" w:rsidRPr="00000000" w14:paraId="00000066">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6-monthly condition test (including 3-hour battery test) by a competent person.</w:t>
            </w:r>
          </w:p>
        </w:tc>
        <w:tc>
          <w:tcPr>
            <w:vAlign w:val="top"/>
          </w:tcPr>
          <w:p w:rsidR="00000000" w:rsidDel="00000000" w:rsidP="00000000" w:rsidRDefault="00000000" w:rsidRPr="00000000" w14:paraId="00000067">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CARETAKER</w:t>
            </w:r>
          </w:p>
        </w:tc>
      </w:tr>
      <w:tr>
        <w:trPr>
          <w:cantSplit w:val="1"/>
          <w:tblHeader w:val="0"/>
        </w:trPr>
        <w:tc>
          <w:tcPr>
            <w:vAlign w:val="top"/>
          </w:tcPr>
          <w:p w:rsidR="00000000" w:rsidDel="00000000" w:rsidP="00000000" w:rsidRDefault="00000000" w:rsidRPr="00000000" w14:paraId="00000068">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Lifts</w:t>
            </w:r>
          </w:p>
        </w:tc>
        <w:tc>
          <w:tcPr>
            <w:vAlign w:val="top"/>
          </w:tcPr>
          <w:p w:rsidR="00000000" w:rsidDel="00000000" w:rsidP="00000000" w:rsidRDefault="00000000" w:rsidRPr="00000000" w14:paraId="00000069">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At least every 6 months for passenger lifts and lift accessories, every 12 months for other lifts (e.g. goods lifts) – always by a competent person.</w:t>
            </w:r>
          </w:p>
        </w:tc>
        <w:tc>
          <w:tcPr>
            <w:vAlign w:val="top"/>
          </w:tcPr>
          <w:p w:rsidR="00000000" w:rsidDel="00000000" w:rsidP="00000000" w:rsidRDefault="00000000" w:rsidRPr="00000000" w14:paraId="0000006A">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SERVICE  TERRYS LIFTS SLA </w:t>
            </w:r>
          </w:p>
          <w:p w:rsidR="00000000" w:rsidDel="00000000" w:rsidP="00000000" w:rsidRDefault="00000000" w:rsidRPr="00000000" w14:paraId="0000006B">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SBM </w:t>
            </w:r>
          </w:p>
        </w:tc>
      </w:tr>
      <w:tr>
        <w:trPr>
          <w:cantSplit w:val="1"/>
          <w:tblHeader w:val="0"/>
        </w:trPr>
        <w:tc>
          <w:tcPr>
            <w:vAlign w:val="top"/>
          </w:tcPr>
          <w:p w:rsidR="00000000" w:rsidDel="00000000" w:rsidP="00000000" w:rsidRDefault="00000000" w:rsidRPr="00000000" w14:paraId="0000006C">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Gas appliances and fittings</w:t>
            </w:r>
          </w:p>
        </w:tc>
        <w:tc>
          <w:tcPr>
            <w:vAlign w:val="top"/>
          </w:tcPr>
          <w:p w:rsidR="00000000" w:rsidDel="00000000" w:rsidP="00000000" w:rsidRDefault="00000000" w:rsidRPr="00000000" w14:paraId="0000006D">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Routinely, in accordance with manufacturer recommendations (or other professional advice if unavailable). </w:t>
            </w:r>
          </w:p>
          <w:p w:rsidR="00000000" w:rsidDel="00000000" w:rsidP="00000000" w:rsidRDefault="00000000" w:rsidRPr="00000000" w14:paraId="0000006E">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Annual safety checks (in line with good practice / required if the premises are used for residential accommodation). </w:t>
            </w:r>
          </w:p>
          <w:p w:rsidR="00000000" w:rsidDel="00000000" w:rsidP="00000000" w:rsidRDefault="00000000" w:rsidRPr="00000000" w14:paraId="0000006F">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All work carried out by a Gas Safe Registered engineer.</w:t>
            </w:r>
          </w:p>
        </w:tc>
        <w:tc>
          <w:tcPr>
            <w:vAlign w:val="top"/>
          </w:tcPr>
          <w:p w:rsidR="00000000" w:rsidDel="00000000" w:rsidP="00000000" w:rsidRDefault="00000000" w:rsidRPr="00000000" w14:paraId="00000070">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SBM </w:t>
            </w:r>
          </w:p>
        </w:tc>
      </w:tr>
      <w:tr>
        <w:trPr>
          <w:cantSplit w:val="1"/>
          <w:tblHeader w:val="0"/>
        </w:trPr>
        <w:tc>
          <w:tcPr>
            <w:vAlign w:val="top"/>
          </w:tcPr>
          <w:p w:rsidR="00000000" w:rsidDel="00000000" w:rsidP="00000000" w:rsidRDefault="00000000" w:rsidRPr="00000000" w14:paraId="00000071">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Fuel oil storage</w:t>
            </w:r>
          </w:p>
        </w:tc>
        <w:tc>
          <w:tcPr>
            <w:vAlign w:val="top"/>
          </w:tcPr>
          <w:p w:rsidR="00000000" w:rsidDel="00000000" w:rsidP="00000000" w:rsidRDefault="00000000" w:rsidRPr="00000000" w14:paraId="00000072">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Checks at least weekly, with more detailed annual inspections by qualified inspectors.</w:t>
            </w:r>
          </w:p>
        </w:tc>
        <w:tc>
          <w:tcPr>
            <w:vAlign w:val="top"/>
          </w:tcPr>
          <w:p w:rsidR="00000000" w:rsidDel="00000000" w:rsidP="00000000" w:rsidRDefault="00000000" w:rsidRPr="00000000" w14:paraId="00000073">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N/A</w:t>
            </w:r>
          </w:p>
        </w:tc>
      </w:tr>
      <w:tr>
        <w:trPr>
          <w:cantSplit w:val="1"/>
          <w:tblHeader w:val="0"/>
        </w:trPr>
        <w:tc>
          <w:tcPr>
            <w:vAlign w:val="top"/>
          </w:tcPr>
          <w:p w:rsidR="00000000" w:rsidDel="00000000" w:rsidP="00000000" w:rsidRDefault="00000000" w:rsidRPr="00000000" w14:paraId="00000074">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Air conditioning systems</w:t>
            </w:r>
          </w:p>
        </w:tc>
        <w:tc>
          <w:tcPr>
            <w:vAlign w:val="top"/>
          </w:tcPr>
          <w:p w:rsidR="00000000" w:rsidDel="00000000" w:rsidP="00000000" w:rsidRDefault="00000000" w:rsidRPr="00000000" w14:paraId="00000075">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Inspections by an energy assessor at regular intervals (not exceeding 5 years). </w:t>
            </w:r>
          </w:p>
          <w:p w:rsidR="00000000" w:rsidDel="00000000" w:rsidP="00000000" w:rsidRDefault="00000000" w:rsidRPr="00000000" w14:paraId="00000076">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Annual certificated inspection to ensure no refrigerant leakage. </w:t>
            </w:r>
          </w:p>
          <w:p w:rsidR="00000000" w:rsidDel="00000000" w:rsidP="00000000" w:rsidRDefault="00000000" w:rsidRPr="00000000" w14:paraId="00000077">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Bi-annual checks and an annual maintenance schedule (in line with good practice).</w:t>
            </w:r>
          </w:p>
        </w:tc>
        <w:tc>
          <w:tcPr>
            <w:vAlign w:val="top"/>
          </w:tcPr>
          <w:p w:rsidR="00000000" w:rsidDel="00000000" w:rsidP="00000000" w:rsidRDefault="00000000" w:rsidRPr="00000000" w14:paraId="00000078">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SEPT 2024 DUE </w:t>
            </w:r>
          </w:p>
        </w:tc>
      </w:tr>
      <w:tr>
        <w:trPr>
          <w:cantSplit w:val="1"/>
          <w:tblHeader w:val="0"/>
        </w:trPr>
        <w:tc>
          <w:tcPr>
            <w:vAlign w:val="top"/>
          </w:tcPr>
          <w:p w:rsidR="00000000" w:rsidDel="00000000" w:rsidP="00000000" w:rsidRDefault="00000000" w:rsidRPr="00000000" w14:paraId="00000079">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Pressure systems</w:t>
            </w:r>
          </w:p>
        </w:tc>
        <w:tc>
          <w:tcPr>
            <w:vAlign w:val="top"/>
          </w:tcPr>
          <w:p w:rsidR="00000000" w:rsidDel="00000000" w:rsidP="00000000" w:rsidRDefault="00000000" w:rsidRPr="00000000" w14:paraId="0000007A">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bookmarkStart w:colFirst="0" w:colLast="0" w:name="_heading=h.26in1rg" w:id="13"/>
            <w:bookmarkEnd w:id="13"/>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No fixed maintenance requirement (our programme takes account of the list on page 44 of the </w:t>
            </w:r>
            <w:hyperlink r:id="rId16">
              <w:r w:rsidDel="00000000" w:rsidR="00000000" w:rsidRPr="00000000">
                <w:rPr>
                  <w:rFonts w:ascii="Arial" w:cs="Arial" w:eastAsia="Arial" w:hAnsi="Arial"/>
                  <w:b w:val="0"/>
                  <w:i w:val="0"/>
                  <w:smallCaps w:val="0"/>
                  <w:strike w:val="0"/>
                  <w:color w:val="0072cc"/>
                  <w:sz w:val="20"/>
                  <w:szCs w:val="20"/>
                  <w:u w:val="single"/>
                  <w:shd w:fill="auto" w:val="clear"/>
                  <w:vertAlign w:val="baseline"/>
                  <w:rtl w:val="0"/>
                </w:rPr>
                <w:t xml:space="preserve">HSE’s Safety of Pressure Systems guidance</w:t>
              </w:r>
            </w:hyperlink>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and an examination of the system is carried out by a competent person by the date set at the previous examination – see pages 35 to 37 of the HSE guidance).</w:t>
            </w:r>
          </w:p>
        </w:tc>
        <w:tc>
          <w:tcPr>
            <w:vAlign w:val="top"/>
          </w:tcPr>
          <w:p w:rsidR="00000000" w:rsidDel="00000000" w:rsidP="00000000" w:rsidRDefault="00000000" w:rsidRPr="00000000" w14:paraId="0000007B">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N/A</w:t>
            </w:r>
          </w:p>
        </w:tc>
      </w:tr>
      <w:tr>
        <w:trPr>
          <w:cantSplit w:val="1"/>
          <w:tblHeader w:val="0"/>
        </w:trPr>
        <w:tc>
          <w:tcPr>
            <w:vAlign w:val="top"/>
          </w:tcPr>
          <w:p w:rsidR="00000000" w:rsidDel="00000000" w:rsidP="00000000" w:rsidRDefault="00000000" w:rsidRPr="00000000" w14:paraId="0000007C">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Legionella checks on all water systems</w:t>
            </w:r>
          </w:p>
        </w:tc>
        <w:tc>
          <w:tcPr>
            <w:vAlign w:val="top"/>
          </w:tcPr>
          <w:p w:rsidR="00000000" w:rsidDel="00000000" w:rsidP="00000000" w:rsidRDefault="00000000" w:rsidRPr="00000000" w14:paraId="0000007D">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bookmarkStart w:colFirst="0" w:colLast="0" w:name="_heading=h.lnxbz9" w:id="14"/>
            <w:bookmarkEnd w:id="14"/>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Risk assessment of each site carried out and reviewed regularly by a competent person. The frequency of monitoring checks varies for evaporative cooling systems, hot and cold water systems and other risk systems – specific details can be found in </w:t>
            </w:r>
            <w:hyperlink r:id="rId17">
              <w:r w:rsidDel="00000000" w:rsidR="00000000" w:rsidRPr="00000000">
                <w:rPr>
                  <w:rFonts w:ascii="Arial" w:cs="Arial" w:eastAsia="Arial" w:hAnsi="Arial"/>
                  <w:b w:val="0"/>
                  <w:i w:val="0"/>
                  <w:smallCaps w:val="0"/>
                  <w:strike w:val="0"/>
                  <w:color w:val="0072cc"/>
                  <w:sz w:val="20"/>
                  <w:szCs w:val="20"/>
                  <w:u w:val="single"/>
                  <w:shd w:fill="auto" w:val="clear"/>
                  <w:vertAlign w:val="baseline"/>
                  <w:rtl w:val="0"/>
                </w:rPr>
                <w:t xml:space="preserve">guidance for each type from the HSE</w:t>
              </w:r>
            </w:hyperlink>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vAlign w:val="top"/>
          </w:tcPr>
          <w:p w:rsidR="00000000" w:rsidDel="00000000" w:rsidP="00000000" w:rsidRDefault="00000000" w:rsidRPr="00000000" w14:paraId="0000007E">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TVO </w:t>
            </w:r>
          </w:p>
          <w:p w:rsidR="00000000" w:rsidDel="00000000" w:rsidP="00000000" w:rsidRDefault="00000000" w:rsidRPr="00000000" w14:paraId="0000007F">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CLEARTEACH SLA </w:t>
            </w:r>
          </w:p>
        </w:tc>
      </w:tr>
      <w:tr>
        <w:trPr>
          <w:cantSplit w:val="1"/>
          <w:tblHeader w:val="0"/>
        </w:trPr>
        <w:tc>
          <w:tcPr>
            <w:vAlign w:val="top"/>
          </w:tcPr>
          <w:p w:rsidR="00000000" w:rsidDel="00000000" w:rsidP="00000000" w:rsidRDefault="00000000" w:rsidRPr="00000000" w14:paraId="00000080">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Asbestos</w:t>
            </w:r>
          </w:p>
        </w:tc>
        <w:tc>
          <w:tcPr>
            <w:vAlign w:val="top"/>
          </w:tcPr>
          <w:p w:rsidR="00000000" w:rsidDel="00000000" w:rsidP="00000000" w:rsidRDefault="00000000" w:rsidRPr="00000000" w14:paraId="00000081">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Regular inspections as part of the asbestos register and management plan. </w:t>
            </w:r>
          </w:p>
          <w:p w:rsidR="00000000" w:rsidDel="00000000" w:rsidP="00000000" w:rsidRDefault="00000000" w:rsidRPr="00000000" w14:paraId="00000082">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Reviews of the asbestos register annually. </w:t>
            </w:r>
          </w:p>
          <w:p w:rsidR="00000000" w:rsidDel="00000000" w:rsidP="00000000" w:rsidRDefault="00000000" w:rsidRPr="00000000" w14:paraId="00000083">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Refurbishment and demolition surveys before any refurbishment or demolition work. </w:t>
            </w:r>
          </w:p>
        </w:tc>
        <w:tc>
          <w:tcPr>
            <w:vAlign w:val="top"/>
          </w:tcPr>
          <w:p w:rsidR="00000000" w:rsidDel="00000000" w:rsidP="00000000" w:rsidRDefault="00000000" w:rsidRPr="00000000" w14:paraId="00000084">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PENDING ( h&amp;s ) FOLLOWING KITCHEN BUILD </w:t>
            </w:r>
          </w:p>
          <w:p w:rsidR="00000000" w:rsidDel="00000000" w:rsidP="00000000" w:rsidRDefault="00000000" w:rsidRPr="00000000" w14:paraId="00000085">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ONGOING </w:t>
            </w:r>
          </w:p>
        </w:tc>
      </w:tr>
      <w:tr>
        <w:trPr>
          <w:cantSplit w:val="1"/>
          <w:tblHeader w:val="0"/>
        </w:trPr>
        <w:tc>
          <w:tcPr>
            <w:vAlign w:val="top"/>
          </w:tcPr>
          <w:p w:rsidR="00000000" w:rsidDel="00000000" w:rsidP="00000000" w:rsidRDefault="00000000" w:rsidRPr="00000000" w14:paraId="00000086">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Equipment used for working at height</w:t>
            </w:r>
          </w:p>
        </w:tc>
        <w:tc>
          <w:tcPr>
            <w:vAlign w:val="top"/>
          </w:tcPr>
          <w:p w:rsidR="00000000" w:rsidDel="00000000" w:rsidP="00000000" w:rsidRDefault="00000000" w:rsidRPr="00000000" w14:paraId="00000087">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Inspected before use, and at suitable intervals appropriate to the environment it’s used in and how it’s used. </w:t>
            </w:r>
          </w:p>
          <w:p w:rsidR="00000000" w:rsidDel="00000000" w:rsidP="00000000" w:rsidRDefault="00000000" w:rsidRPr="00000000" w14:paraId="00000088">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 addition, inspections after anything that may affect the safety or stability of equipment, e.g. adverse weather or accidental damage.</w:t>
            </w:r>
          </w:p>
        </w:tc>
        <w:tc>
          <w:tcPr>
            <w:vAlign w:val="top"/>
          </w:tcPr>
          <w:p w:rsidR="00000000" w:rsidDel="00000000" w:rsidP="00000000" w:rsidRDefault="00000000" w:rsidRPr="00000000" w14:paraId="00000089">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CARETAKER ( LADDERS AND LADDERS TRAINING </w:t>
            </w:r>
          </w:p>
        </w:tc>
      </w:tr>
      <w:tr>
        <w:trPr>
          <w:cantSplit w:val="1"/>
          <w:tblHeader w:val="0"/>
        </w:trPr>
        <w:tc>
          <w:tcPr>
            <w:vAlign w:val="top"/>
          </w:tcPr>
          <w:p w:rsidR="00000000" w:rsidDel="00000000" w:rsidP="00000000" w:rsidRDefault="00000000" w:rsidRPr="00000000" w14:paraId="0000008A">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Fire detection and alarm systems</w:t>
            </w:r>
          </w:p>
        </w:tc>
        <w:tc>
          <w:tcPr>
            <w:vAlign w:val="top"/>
          </w:tcPr>
          <w:p w:rsidR="00000000" w:rsidDel="00000000" w:rsidP="00000000" w:rsidRDefault="00000000" w:rsidRPr="00000000" w14:paraId="0000008B">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Weekly alarm tests, with a different call point tested each week where applicable. </w:t>
            </w:r>
          </w:p>
          <w:p w:rsidR="00000000" w:rsidDel="00000000" w:rsidP="00000000" w:rsidRDefault="00000000" w:rsidRPr="00000000" w14:paraId="0000008C">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Quarterly and annual inspections and tests by a competent person.</w:t>
            </w:r>
          </w:p>
          <w:p w:rsidR="00000000" w:rsidDel="00000000" w:rsidP="00000000" w:rsidRDefault="00000000" w:rsidRPr="00000000" w14:paraId="0000008D">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Annual fire risk assessment by a competent person also includes the maintenance of fire detection and alarm systems.</w:t>
            </w:r>
          </w:p>
        </w:tc>
        <w:tc>
          <w:tcPr>
            <w:vAlign w:val="top"/>
          </w:tcPr>
          <w:p w:rsidR="00000000" w:rsidDel="00000000" w:rsidP="00000000" w:rsidRDefault="00000000" w:rsidRPr="00000000" w14:paraId="0000008E">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CARETAKER </w:t>
            </w:r>
          </w:p>
        </w:tc>
      </w:tr>
      <w:tr>
        <w:trPr>
          <w:cantSplit w:val="1"/>
          <w:tblHeader w:val="0"/>
        </w:trPr>
        <w:tc>
          <w:tcPr>
            <w:vAlign w:val="top"/>
          </w:tcPr>
          <w:p w:rsidR="00000000" w:rsidDel="00000000" w:rsidP="00000000" w:rsidRDefault="00000000" w:rsidRPr="00000000" w14:paraId="0000008F">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Fire doors</w:t>
            </w:r>
          </w:p>
        </w:tc>
        <w:tc>
          <w:tcPr>
            <w:vAlign w:val="top"/>
          </w:tcPr>
          <w:p w:rsidR="00000000" w:rsidDel="00000000" w:rsidP="00000000" w:rsidRDefault="00000000" w:rsidRPr="00000000" w14:paraId="00000090">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Regular checks by a competent person.</w:t>
            </w:r>
          </w:p>
        </w:tc>
        <w:tc>
          <w:tcPr>
            <w:vAlign w:val="top"/>
          </w:tcPr>
          <w:p w:rsidR="00000000" w:rsidDel="00000000" w:rsidP="00000000" w:rsidRDefault="00000000" w:rsidRPr="00000000" w14:paraId="00000091">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CARETAKER </w:t>
            </w:r>
          </w:p>
        </w:tc>
      </w:tr>
      <w:tr>
        <w:trPr>
          <w:cantSplit w:val="1"/>
          <w:tblHeader w:val="0"/>
        </w:trPr>
        <w:tc>
          <w:tcPr>
            <w:vAlign w:val="top"/>
          </w:tcPr>
          <w:p w:rsidR="00000000" w:rsidDel="00000000" w:rsidP="00000000" w:rsidRDefault="00000000" w:rsidRPr="00000000" w14:paraId="00000092">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Firefighting equipment</w:t>
            </w:r>
          </w:p>
        </w:tc>
        <w:tc>
          <w:tcPr>
            <w:vAlign w:val="top"/>
          </w:tcPr>
          <w:p w:rsidR="00000000" w:rsidDel="00000000" w:rsidP="00000000" w:rsidRDefault="00000000" w:rsidRPr="00000000" w14:paraId="00000093">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Most equipment – extinguishers, fire blankets, hose reels, fixed systems (such as sprinkler systems) and fire service facilities (such as dry risers and access for emergency vehicles) – inspected annually (by a competent person where required) unless manufacturers’ guidelines suggest differently.</w:t>
            </w:r>
          </w:p>
        </w:tc>
        <w:tc>
          <w:tcPr>
            <w:vAlign w:val="top"/>
          </w:tcPr>
          <w:p w:rsidR="00000000" w:rsidDel="00000000" w:rsidP="00000000" w:rsidRDefault="00000000" w:rsidRPr="00000000" w14:paraId="00000094">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EXTERNAL ANNUAL CONTRACT ( CHURCHES FIRE)</w:t>
            </w:r>
          </w:p>
        </w:tc>
      </w:tr>
      <w:tr>
        <w:trPr>
          <w:cantSplit w:val="1"/>
          <w:tblHeader w:val="0"/>
        </w:trPr>
        <w:tc>
          <w:tcPr>
            <w:vAlign w:val="top"/>
          </w:tcPr>
          <w:p w:rsidR="00000000" w:rsidDel="00000000" w:rsidP="00000000" w:rsidRDefault="00000000" w:rsidRPr="00000000" w14:paraId="00000095">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Extraction systems</w:t>
            </w:r>
          </w:p>
        </w:tc>
        <w:tc>
          <w:tcPr>
            <w:vAlign w:val="top"/>
          </w:tcPr>
          <w:p w:rsidR="00000000" w:rsidDel="00000000" w:rsidP="00000000" w:rsidRDefault="00000000" w:rsidRPr="00000000" w14:paraId="00000096">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Regular removal and cleaning of grease filters and cleaning of ductwork for kitchen extraction systems.</w:t>
            </w:r>
          </w:p>
          <w:p w:rsidR="00000000" w:rsidDel="00000000" w:rsidP="00000000" w:rsidRDefault="00000000" w:rsidRPr="00000000" w14:paraId="00000097">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Local exhaust ventilation systems (such as those for working with hazardous substances) examined and tested at least every 14 months by a competent person.</w:t>
            </w:r>
          </w:p>
          <w:p w:rsidR="00000000" w:rsidDel="00000000" w:rsidP="00000000" w:rsidRDefault="00000000" w:rsidRPr="00000000" w14:paraId="00000098">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More routine checks also set out in system logbooks. </w:t>
            </w:r>
          </w:p>
        </w:tc>
        <w:tc>
          <w:tcPr>
            <w:vAlign w:val="top"/>
          </w:tcPr>
          <w:p w:rsidR="00000000" w:rsidDel="00000000" w:rsidP="00000000" w:rsidRDefault="00000000" w:rsidRPr="00000000" w14:paraId="00000099">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n/A</w:t>
            </w:r>
          </w:p>
        </w:tc>
      </w:tr>
      <w:tr>
        <w:trPr>
          <w:cantSplit w:val="1"/>
          <w:tblHeader w:val="0"/>
        </w:trPr>
        <w:tc>
          <w:tcPr>
            <w:vAlign w:val="top"/>
          </w:tcPr>
          <w:p w:rsidR="00000000" w:rsidDel="00000000" w:rsidP="00000000" w:rsidRDefault="00000000" w:rsidRPr="00000000" w14:paraId="0000009A">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Chemical storage</w:t>
            </w:r>
          </w:p>
          <w:p w:rsidR="00000000" w:rsidDel="00000000" w:rsidP="00000000" w:rsidRDefault="00000000" w:rsidRPr="00000000" w14:paraId="0000009B">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9F">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Inventories are kept up-to-date. </w:t>
            </w:r>
          </w:p>
          <w:p w:rsidR="00000000" w:rsidDel="00000000" w:rsidP="00000000" w:rsidRDefault="00000000" w:rsidRPr="00000000" w14:paraId="000000A0">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bookmarkStart w:colFirst="0" w:colLast="0" w:name="_heading=h.35nkun2" w:id="15"/>
            <w:bookmarkEnd w:id="15"/>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Risk assessments for the Control of Substances Hazardous to Health (COSHH) are reviewed on a regular basis, plus whenever it’s considered that the original assessment may no longer be valid, or where the circumstances of the work change significantly and may affect employees’ exposure to a hazardous substance (in line with </w:t>
            </w:r>
            <w:hyperlink r:id="rId18">
              <w:r w:rsidDel="00000000" w:rsidR="00000000" w:rsidRPr="00000000">
                <w:rPr>
                  <w:rFonts w:ascii="Arial" w:cs="Arial" w:eastAsia="Arial" w:hAnsi="Arial"/>
                  <w:b w:val="0"/>
                  <w:i w:val="0"/>
                  <w:smallCaps w:val="0"/>
                  <w:strike w:val="0"/>
                  <w:color w:val="0072cc"/>
                  <w:sz w:val="20"/>
                  <w:szCs w:val="20"/>
                  <w:u w:val="single"/>
                  <w:shd w:fill="auto" w:val="clear"/>
                  <w:vertAlign w:val="baseline"/>
                  <w:rtl w:val="0"/>
                </w:rPr>
                <w:t xml:space="preserve">HSE guidance on COSHH assessment</w:t>
              </w:r>
            </w:hyperlink>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c>
          <w:tcPr>
            <w:vAlign w:val="top"/>
          </w:tcPr>
          <w:p w:rsidR="00000000" w:rsidDel="00000000" w:rsidP="00000000" w:rsidRDefault="00000000" w:rsidRPr="00000000" w14:paraId="000000A1">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Caretaker  </w:t>
            </w:r>
          </w:p>
          <w:p w:rsidR="00000000" w:rsidDel="00000000" w:rsidP="00000000" w:rsidRDefault="00000000" w:rsidRPr="00000000" w14:paraId="000000A2">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COSHH TRAINED </w:t>
            </w:r>
          </w:p>
        </w:tc>
      </w:tr>
      <w:tr>
        <w:trPr>
          <w:cantSplit w:val="1"/>
          <w:tblHeader w:val="0"/>
        </w:trPr>
        <w:tc>
          <w:tcPr>
            <w:vAlign w:val="top"/>
          </w:tcPr>
          <w:p w:rsidR="00000000" w:rsidDel="00000000" w:rsidP="00000000" w:rsidRDefault="00000000" w:rsidRPr="00000000" w14:paraId="000000A3">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Hydrotherapy pools and swimming pools</w:t>
            </w:r>
          </w:p>
        </w:tc>
        <w:tc>
          <w:tcPr>
            <w:vAlign w:val="top"/>
          </w:tcPr>
          <w:p w:rsidR="00000000" w:rsidDel="00000000" w:rsidP="00000000" w:rsidRDefault="00000000" w:rsidRPr="00000000" w14:paraId="000000A4">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bookmarkStart w:colFirst="0" w:colLast="0" w:name="_heading=h.1ksv4uv" w:id="16"/>
            <w:bookmarkEnd w:id="16"/>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 addition to inclusion as part of the legionella checks, we follow the operation and maintenance guidance on pages 32 to 43 of the </w:t>
            </w:r>
            <w:hyperlink r:id="rId19">
              <w:r w:rsidDel="00000000" w:rsidR="00000000" w:rsidRPr="00000000">
                <w:rPr>
                  <w:rFonts w:ascii="Arial" w:cs="Arial" w:eastAsia="Arial" w:hAnsi="Arial"/>
                  <w:b w:val="0"/>
                  <w:i w:val="0"/>
                  <w:smallCaps w:val="0"/>
                  <w:strike w:val="0"/>
                  <w:color w:val="0072cc"/>
                  <w:sz w:val="20"/>
                  <w:szCs w:val="20"/>
                  <w:u w:val="single"/>
                  <w:shd w:fill="auto" w:val="clear"/>
                  <w:vertAlign w:val="baseline"/>
                  <w:rtl w:val="0"/>
                </w:rPr>
                <w:t xml:space="preserve">HSE’s guide for spa-pool systems</w:t>
              </w:r>
            </w:hyperlink>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A5">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Swimming pools are subject to risk assessments and included in legionella checks and COSHH assessments.</w:t>
            </w:r>
          </w:p>
        </w:tc>
        <w:tc>
          <w:tcPr>
            <w:vAlign w:val="top"/>
          </w:tcPr>
          <w:p w:rsidR="00000000" w:rsidDel="00000000" w:rsidP="00000000" w:rsidRDefault="00000000" w:rsidRPr="00000000" w14:paraId="000000A6">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N/A</w:t>
            </w:r>
          </w:p>
        </w:tc>
      </w:tr>
      <w:tr>
        <w:trPr>
          <w:cantSplit w:val="1"/>
          <w:tblHeader w:val="0"/>
        </w:trPr>
        <w:tc>
          <w:tcPr>
            <w:vAlign w:val="top"/>
          </w:tcPr>
          <w:p w:rsidR="00000000" w:rsidDel="00000000" w:rsidP="00000000" w:rsidRDefault="00000000" w:rsidRPr="00000000" w14:paraId="000000A7">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Playground and gymnasium equipment</w:t>
            </w:r>
          </w:p>
        </w:tc>
        <w:tc>
          <w:tcPr>
            <w:vAlign w:val="top"/>
          </w:tcPr>
          <w:p w:rsidR="00000000" w:rsidDel="00000000" w:rsidP="00000000" w:rsidRDefault="00000000" w:rsidRPr="00000000" w14:paraId="000000A8">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Regular inspections – at least annually, and more regularly where any equipment is used more frequently than normal (e.g. where community use increases how often equipment is used). </w:t>
            </w:r>
          </w:p>
          <w:p w:rsidR="00000000" w:rsidDel="00000000" w:rsidP="00000000" w:rsidRDefault="00000000" w:rsidRPr="00000000" w14:paraId="000000A9">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Outdoor fixed play equipment – periodic and annual inspections by a competent person. </w:t>
            </w:r>
          </w:p>
        </w:tc>
        <w:tc>
          <w:tcPr>
            <w:vAlign w:val="top"/>
          </w:tcPr>
          <w:p w:rsidR="00000000" w:rsidDel="00000000" w:rsidP="00000000" w:rsidRDefault="00000000" w:rsidRPr="00000000" w14:paraId="000000AA">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ANNUAL CHECKS  </w:t>
            </w:r>
          </w:p>
          <w:p w:rsidR="00000000" w:rsidDel="00000000" w:rsidP="00000000" w:rsidRDefault="00000000" w:rsidRPr="00000000" w14:paraId="000000AB">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PENTAGON </w:t>
            </w:r>
          </w:p>
          <w:p w:rsidR="00000000" w:rsidDel="00000000" w:rsidP="00000000" w:rsidRDefault="00000000" w:rsidRPr="00000000" w14:paraId="000000AC">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SPORTSAFE </w:t>
            </w:r>
          </w:p>
        </w:tc>
      </w:tr>
      <w:tr>
        <w:trPr>
          <w:cantSplit w:val="1"/>
          <w:tblHeader w:val="0"/>
        </w:trPr>
        <w:tc>
          <w:tcPr>
            <w:vAlign w:val="top"/>
          </w:tcPr>
          <w:p w:rsidR="00000000" w:rsidDel="00000000" w:rsidP="00000000" w:rsidRDefault="00000000" w:rsidRPr="00000000" w14:paraId="000000AD">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Tree safety</w:t>
            </w:r>
          </w:p>
        </w:tc>
        <w:tc>
          <w:tcPr>
            <w:vAlign w:val="top"/>
          </w:tcPr>
          <w:p w:rsidR="00000000" w:rsidDel="00000000" w:rsidP="00000000" w:rsidRDefault="00000000" w:rsidRPr="00000000" w14:paraId="000000AE">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As part of risk assessment responsibilities, periodic visual checks for stability are carried out, with more detailed assessments if suspected structural faults or other risks are found.</w:t>
            </w:r>
          </w:p>
        </w:tc>
        <w:tc>
          <w:tcPr>
            <w:vAlign w:val="top"/>
          </w:tcPr>
          <w:p w:rsidR="00000000" w:rsidDel="00000000" w:rsidP="00000000" w:rsidRDefault="00000000" w:rsidRPr="00000000" w14:paraId="000000AF">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GROUND MAINTENCNACE CONTRACT </w:t>
            </w:r>
          </w:p>
        </w:tc>
      </w:tr>
      <w:tr>
        <w:trPr>
          <w:cantSplit w:val="1"/>
          <w:tblHeader w:val="0"/>
        </w:trPr>
        <w:tc>
          <w:tcPr>
            <w:vAlign w:val="top"/>
          </w:tcPr>
          <w:p w:rsidR="00000000" w:rsidDel="00000000" w:rsidP="00000000" w:rsidRDefault="00000000" w:rsidRPr="00000000" w14:paraId="000000B0">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Radon</w:t>
            </w:r>
          </w:p>
        </w:tc>
        <w:tc>
          <w:tcPr>
            <w:vAlign w:val="top"/>
          </w:tcPr>
          <w:p w:rsidR="00000000" w:rsidDel="00000000" w:rsidP="00000000" w:rsidRDefault="00000000" w:rsidRPr="00000000" w14:paraId="000000B1">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Risk assessments including radon measurements will be carried out in all of our above-ground workplaces in radon-affected areas, and all of our below-ground workplaces. </w:t>
            </w:r>
          </w:p>
          <w:p w:rsidR="00000000" w:rsidDel="00000000" w:rsidP="00000000" w:rsidRDefault="00000000" w:rsidRPr="00000000" w14:paraId="000000B2">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bookmarkStart w:colFirst="0" w:colLast="0" w:name="_heading=h.44sinio" w:id="17"/>
            <w:bookmarkEnd w:id="17"/>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Radon measurements will last for 3 months, using radon monitors, in line with </w:t>
            </w:r>
            <w:hyperlink r:id="rId20">
              <w:r w:rsidDel="00000000" w:rsidR="00000000" w:rsidRPr="00000000">
                <w:rPr>
                  <w:rFonts w:ascii="Arial" w:cs="Arial" w:eastAsia="Arial" w:hAnsi="Arial"/>
                  <w:b w:val="0"/>
                  <w:i w:val="0"/>
                  <w:smallCaps w:val="0"/>
                  <w:strike w:val="0"/>
                  <w:color w:val="0072cc"/>
                  <w:sz w:val="20"/>
                  <w:szCs w:val="20"/>
                  <w:u w:val="single"/>
                  <w:shd w:fill="auto" w:val="clear"/>
                  <w:vertAlign w:val="baseline"/>
                  <w:rtl w:val="0"/>
                </w:rPr>
                <w:t xml:space="preserve">Public Health England (now the UK Health Security Agency) radon guidance for schools</w:t>
              </w:r>
            </w:hyperlink>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B3">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Where measurements show radon levels below 300Bq/m3, radon levels will be remeasured at least every 10 years. If significant changes are made to the buildings or work processes, remeasurement will also be considered.</w:t>
            </w:r>
          </w:p>
          <w:p w:rsidR="00000000" w:rsidDel="00000000" w:rsidP="00000000" w:rsidRDefault="00000000" w:rsidRPr="00000000" w14:paraId="000000B4">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For any sites with radon levels above 300Bq/m3 we will work with a radiation protection adviser to manage reduction and decide on risk assessment and remeasurement frequency.</w:t>
            </w:r>
          </w:p>
        </w:tc>
        <w:tc>
          <w:tcPr>
            <w:vAlign w:val="top"/>
          </w:tcPr>
          <w:p w:rsidR="00000000" w:rsidDel="00000000" w:rsidP="00000000" w:rsidRDefault="00000000" w:rsidRPr="00000000" w14:paraId="000000B5">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B6">
      <w:pPr>
        <w:rPr>
          <w:vertAlign w:val="baseline"/>
        </w:rPr>
      </w:pPr>
      <w:bookmarkStart w:colFirst="0" w:colLast="0" w:name="_heading=h.2jxsxqh" w:id="18"/>
      <w:bookmarkEnd w:id="18"/>
      <w:r w:rsidDel="00000000" w:rsidR="00000000" w:rsidRPr="00000000">
        <w:rPr>
          <w:rtl w:val="0"/>
        </w:rPr>
      </w:r>
    </w:p>
    <w:p w:rsidR="00000000" w:rsidDel="00000000" w:rsidP="00000000" w:rsidRDefault="00000000" w:rsidRPr="00000000" w14:paraId="000000B7">
      <w:pPr>
        <w:pStyle w:val="Heading1"/>
        <w:rPr>
          <w:vertAlign w:val="baseline"/>
        </w:rPr>
      </w:pPr>
      <w:r w:rsidDel="00000000" w:rsidR="00000000" w:rsidRPr="00000000">
        <w:rPr>
          <w:b w:val="1"/>
          <w:vertAlign w:val="baseline"/>
          <w:rtl w:val="0"/>
        </w:rPr>
        <w:t xml:space="preserve">5. Risk assessments and other checks</w:t>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Please refer to our risk assessment policy for information about the school’s approach to risk assessment.</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 addition to the risk assessments we are required to have in place (please refer to our risk assessment policy and health and safety policy for more information</w:t>
      </w: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we make sure we have risk assessments in place, regularly updated, to cover:</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(Include as applicable)</w:t>
      </w: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Car parking and vehicle/pedestrian segregation </w:t>
      </w:r>
    </w:p>
    <w:p w:rsidR="00000000" w:rsidDel="00000000" w:rsidP="00000000" w:rsidRDefault="00000000" w:rsidRPr="00000000" w14:paraId="000000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t xml:space="preserve">ELECTRONIC</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GATES RA </w:t>
      </w:r>
    </w:p>
    <w:p w:rsidR="00000000" w:rsidDel="00000000" w:rsidP="00000000" w:rsidRDefault="00000000" w:rsidRPr="00000000" w14:paraId="000000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Traffic management</w:t>
      </w:r>
    </w:p>
    <w:p w:rsidR="00000000" w:rsidDel="00000000" w:rsidP="00000000" w:rsidRDefault="00000000" w:rsidRPr="00000000" w14:paraId="000000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BINS </w:t>
      </w:r>
    </w:p>
    <w:p w:rsidR="00000000" w:rsidDel="00000000" w:rsidP="00000000" w:rsidRDefault="00000000" w:rsidRPr="00000000" w14:paraId="000000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CLEANING </w:t>
      </w:r>
    </w:p>
    <w:p w:rsidR="00000000" w:rsidDel="00000000" w:rsidP="00000000" w:rsidRDefault="00000000" w:rsidRPr="00000000" w14:paraId="000000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CLEANING PRODUCTS </w:t>
      </w:r>
    </w:p>
    <w:p w:rsidR="00000000" w:rsidDel="00000000" w:rsidP="00000000" w:rsidRDefault="00000000" w:rsidRPr="00000000" w14:paraId="000000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vertAlign w:val="baseline"/>
        </w:rPr>
      </w:pPr>
      <w:r w:rsidDel="00000000" w:rsidR="00000000" w:rsidRPr="00000000">
        <w:rPr>
          <w:rFonts w:ascii="Arial" w:cs="Arial" w:eastAsia="Arial" w:hAnsi="Arial"/>
          <w:b w:val="0"/>
          <w:i w:val="0"/>
          <w:smallCaps w:val="0"/>
          <w:strike w:val="0"/>
          <w:color w:val="000000"/>
          <w:sz w:val="20"/>
          <w:szCs w:val="20"/>
          <w:u w:val="none"/>
          <w:vertAlign w:val="baseline"/>
          <w:rtl w:val="0"/>
        </w:rPr>
        <w:t xml:space="preserve">As this model policy is based on the DfE guidance, it focuses on the aspects of premises management covered there. Some schools also set out information on other premises-related topics in their premises management policy or other relevant policies. For example, topics might include security, waste disposal/recycling, cleaning, catering facilities, drainage and evacuations. If you wish to add further sections to this policy, the pre-set text styles along the top of the page can be used to help you adapt and format your policy in line with the current sections.</w:t>
      </w: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bookmarkStart w:colFirst="0" w:colLast="0" w:name="_heading=h.z337ya" w:id="19"/>
      <w:bookmarkEnd w:id="19"/>
      <w:r w:rsidDel="00000000" w:rsidR="00000000" w:rsidRPr="00000000">
        <w:rPr>
          <w:rtl w:val="0"/>
        </w:rPr>
      </w:r>
    </w:p>
    <w:p w:rsidR="00000000" w:rsidDel="00000000" w:rsidP="00000000" w:rsidRDefault="00000000" w:rsidRPr="00000000" w14:paraId="000000C4">
      <w:pPr>
        <w:pStyle w:val="Heading1"/>
        <w:rPr>
          <w:vertAlign w:val="baseline"/>
        </w:rPr>
      </w:pPr>
      <w:r w:rsidDel="00000000" w:rsidR="00000000" w:rsidRPr="00000000">
        <w:rPr>
          <w:b w:val="1"/>
          <w:vertAlign w:val="baseline"/>
          <w:rtl w:val="0"/>
        </w:rPr>
        <w:t xml:space="preserve">6. Monitoring arrangements</w:t>
      </w: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application of this policy is monitored by the site manager and headteacher through, among other things, visual checks of the school site and equipment, and checks of risk assessments. </w:t>
      </w: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(You may need to adapt this sentence if you adapted section 3 above.)</w:t>
      </w: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Copies of risk assessments and paperwork relating to any checks are kept in the school office. </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highlight w:val="yellow"/>
          <w:u w:val="none"/>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This policy will be reviewed by </w:t>
      </w:r>
      <w:r w:rsidDel="00000000" w:rsidR="00000000" w:rsidRPr="00000000">
        <w:rPr>
          <w:rtl w:val="0"/>
        </w:rPr>
        <w:t xml:space="preserve">the governors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tl w:val="0"/>
        </w:rPr>
        <w:t xml:space="preserve">annually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At every review, the policy will be shared with and approved by </w:t>
      </w: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[the governing board/committee name/governor role/the headteacher]</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bookmarkStart w:colFirst="0" w:colLast="0" w:name="_heading=h.3j2qqm3" w:id="20"/>
      <w:bookmarkEnd w:id="20"/>
      <w:r w:rsidDel="00000000" w:rsidR="00000000" w:rsidRPr="00000000">
        <w:rPr>
          <w:rtl w:val="0"/>
        </w:rPr>
      </w:r>
    </w:p>
    <w:p w:rsidR="00000000" w:rsidDel="00000000" w:rsidP="00000000" w:rsidRDefault="00000000" w:rsidRPr="00000000" w14:paraId="000000C9">
      <w:pPr>
        <w:pStyle w:val="Heading1"/>
        <w:rPr>
          <w:vertAlign w:val="baseline"/>
        </w:rPr>
      </w:pPr>
      <w:r w:rsidDel="00000000" w:rsidR="00000000" w:rsidRPr="00000000">
        <w:rPr>
          <w:b w:val="1"/>
          <w:vertAlign w:val="baseline"/>
          <w:rtl w:val="0"/>
        </w:rPr>
        <w:t xml:space="preserve">7. Links with other policies</w:t>
      </w: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This premises management policy is linked to our:</w:t>
      </w:r>
    </w:p>
    <w:p w:rsidR="00000000" w:rsidDel="00000000" w:rsidP="00000000" w:rsidRDefault="00000000" w:rsidRPr="00000000" w14:paraId="000000C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Health and safety policy</w:t>
      </w:r>
    </w:p>
    <w:p w:rsidR="00000000" w:rsidDel="00000000" w:rsidP="00000000" w:rsidRDefault="00000000" w:rsidRPr="00000000" w14:paraId="000000C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Risk assessment policy</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bookmarkStart w:colFirst="0" w:colLast="0" w:name="_heading=h.1y810tw" w:id="21"/>
      <w:bookmarkEnd w:id="21"/>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List any other related policies you have, if applicable.</w:t>
      </w:r>
      <w:r w:rsidDel="00000000" w:rsidR="00000000" w:rsidRPr="00000000">
        <w:rPr>
          <w:rtl w:val="0"/>
        </w:rPr>
      </w:r>
    </w:p>
    <w:p w:rsidR="00000000" w:rsidDel="00000000" w:rsidP="00000000" w:rsidRDefault="00000000" w:rsidRPr="00000000" w14:paraId="000000CE">
      <w:pPr>
        <w:rPr>
          <w:vertAlign w:val="baseline"/>
        </w:rPr>
      </w:pPr>
      <w:r w:rsidDel="00000000" w:rsidR="00000000" w:rsidRPr="00000000">
        <w:rPr>
          <w:rtl w:val="0"/>
        </w:rPr>
      </w:r>
    </w:p>
    <w:sectPr>
      <w:headerReference r:id="rId21" w:type="default"/>
      <w:headerReference r:id="rId22" w:type="first"/>
      <w:headerReference r:id="rId23" w:type="even"/>
      <w:footerReference r:id="rId24" w:type="default"/>
      <w:footerReference r:id="rId25" w:type="first"/>
      <w:pgSz w:h="16840" w:w="11900" w:orient="portrait"/>
      <w:pgMar w:bottom="1701" w:top="992" w:left="1077" w:right="1077" w:header="567" w:foot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bl>
    <w:tblPr>
      <w:tblStyle w:val="Table3"/>
      <w:tblW w:w="9781.0" w:type="dxa"/>
      <w:jc w:val="left"/>
      <w:tblBorders>
        <w:top w:color="ff1f64" w:space="0" w:sz="8" w:val="single"/>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6379"/>
      <w:gridCol w:w="3402"/>
      <w:tblGridChange w:id="0">
        <w:tblGrid>
          <w:gridCol w:w="6379"/>
          <w:gridCol w:w="3402"/>
        </w:tblGrid>
      </w:tblGridChange>
    </w:tblGrid>
    <w:tr>
      <w:trPr>
        <w:cantSplit w:val="0"/>
        <w:tblHeader w:val="0"/>
      </w:trPr>
      <w:tc>
        <w:tcPr>
          <w:vAlign w:val="top"/>
        </w:tcPr>
        <w:p w:rsidR="00000000" w:rsidDel="00000000" w:rsidP="00000000" w:rsidRDefault="00000000" w:rsidRPr="00000000" w14:paraId="000000D6">
          <w:pPr>
            <w:shd w:fill="ffffff" w:val="clear"/>
            <w:rPr>
              <w:color w:val="808080"/>
              <w:sz w:val="16"/>
              <w:szCs w:val="16"/>
              <w:vertAlign w:val="baseline"/>
            </w:rPr>
          </w:pPr>
          <w:r w:rsidDel="00000000" w:rsidR="00000000" w:rsidRPr="00000000">
            <w:rPr>
              <w:color w:val="808080"/>
              <w:sz w:val="16"/>
              <w:szCs w:val="16"/>
              <w:vertAlign w:val="baseline"/>
              <w:rtl w:val="0"/>
            </w:rPr>
            <w:t xml:space="preserve">© The Key Support Services Ltd | For terms of use, visit </w:t>
          </w:r>
          <w:hyperlink r:id="rId1">
            <w:r w:rsidDel="00000000" w:rsidR="00000000" w:rsidRPr="00000000">
              <w:rPr>
                <w:color w:val="808080"/>
                <w:sz w:val="16"/>
                <w:szCs w:val="16"/>
                <w:u w:val="single"/>
                <w:vertAlign w:val="baseline"/>
                <w:rtl w:val="0"/>
              </w:rPr>
              <w:t xml:space="preserve">thekeysupport.com/terms</w:t>
            </w:r>
          </w:hyperlink>
          <w:r w:rsidDel="00000000" w:rsidR="00000000" w:rsidRPr="00000000">
            <w:rPr>
              <w:rtl w:val="0"/>
            </w:rPr>
          </w:r>
        </w:p>
      </w:tc>
      <w:tc>
        <w:tcPr>
          <w:vAlign w:val="top"/>
        </w:tcPr>
        <w:p w:rsidR="00000000" w:rsidDel="00000000" w:rsidP="00000000" w:rsidRDefault="00000000" w:rsidRPr="00000000" w14:paraId="000000D7">
          <w:pPr>
            <w:shd w:fill="ffffff" w:val="clear"/>
            <w:rPr>
              <w:color w:val="bfbfbf"/>
              <w:sz w:val="17"/>
              <w:szCs w:val="17"/>
              <w:vertAlign w:val="baseline"/>
            </w:rPr>
          </w:pPr>
          <w:r w:rsidDel="00000000" w:rsidR="00000000" w:rsidRPr="00000000">
            <w:rPr>
              <w:rtl w:val="0"/>
            </w:rPr>
          </w:r>
        </w:p>
      </w:tc>
    </w:tr>
  </w:tbl>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Arial" w:cs="Arial" w:eastAsia="Arial" w:hAnsi="Arial"/>
        <w:b w:val="0"/>
        <w:i w:val="0"/>
        <w:smallCaps w:val="0"/>
        <w:strike w:val="0"/>
        <w:color w:val="80808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Page</w:t>
    </w:r>
    <w:r w:rsidDel="00000000" w:rsidR="00000000" w:rsidRPr="00000000">
      <w:rPr>
        <w:rFonts w:ascii="Arial" w:cs="Arial" w:eastAsia="Arial" w:hAnsi="Arial"/>
        <w:b w:val="1"/>
        <w:i w:val="0"/>
        <w:smallCaps w:val="0"/>
        <w:strike w:val="0"/>
        <w:color w:val="808080"/>
        <w:sz w:val="16"/>
        <w:szCs w:val="16"/>
        <w:u w:val="none"/>
        <w:shd w:fill="auto" w:val="clear"/>
        <w:vertAlign w:val="baseline"/>
        <w:rtl w:val="0"/>
      </w:rPr>
      <w:t xml:space="preserve"> </w:t>
    </w:r>
    <w:r w:rsidDel="00000000" w:rsidR="00000000" w:rsidRPr="00000000">
      <w:rPr>
        <w:rFonts w:ascii="Arial" w:cs="Arial" w:eastAsia="Arial" w:hAnsi="Arial"/>
        <w:b w:val="1"/>
        <w:i w:val="0"/>
        <w:smallCaps w:val="0"/>
        <w:strike w:val="0"/>
        <w:color w:val="ff1f64"/>
        <w:sz w:val="16"/>
        <w:szCs w:val="16"/>
        <w:u w:val="none"/>
        <w:shd w:fill="auto" w:val="clear"/>
        <w:vertAlign w:val="baseline"/>
        <w:rtl w:val="0"/>
      </w:rPr>
      <w:t xml:space="preserve">|</w:t>
    </w:r>
    <w:r w:rsidDel="00000000" w:rsidR="00000000" w:rsidRPr="00000000">
      <w:rPr>
        <w:rFonts w:ascii="Arial" w:cs="Arial" w:eastAsia="Arial" w:hAnsi="Arial"/>
        <w:b w:val="0"/>
        <w:i w:val="0"/>
        <w:smallCaps w:val="0"/>
        <w:strike w:val="0"/>
        <w:color w:val="808080"/>
        <w:sz w:val="16"/>
        <w:szCs w:val="1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Arial" w:cs="Arial" w:eastAsia="Arial" w:hAnsi="Arial"/>
        <w:b w:val="0"/>
        <w:i w:val="0"/>
        <w:smallCaps w:val="0"/>
        <w:strike w:val="0"/>
        <w:color w:val="80808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Page</w:t>
    </w:r>
    <w:r w:rsidDel="00000000" w:rsidR="00000000" w:rsidRPr="00000000">
      <w:rPr>
        <w:rFonts w:ascii="Arial" w:cs="Arial" w:eastAsia="Arial" w:hAnsi="Arial"/>
        <w:b w:val="1"/>
        <w:i w:val="0"/>
        <w:smallCaps w:val="0"/>
        <w:strike w:val="0"/>
        <w:color w:val="808080"/>
        <w:sz w:val="16"/>
        <w:szCs w:val="16"/>
        <w:u w:val="none"/>
        <w:shd w:fill="auto" w:val="clear"/>
        <w:vertAlign w:val="baseline"/>
        <w:rtl w:val="0"/>
      </w:rPr>
      <w:t xml:space="preserve"> </w:t>
    </w:r>
    <w:r w:rsidDel="00000000" w:rsidR="00000000" w:rsidRPr="00000000">
      <w:rPr>
        <w:rFonts w:ascii="Arial" w:cs="Arial" w:eastAsia="Arial" w:hAnsi="Arial"/>
        <w:b w:val="1"/>
        <w:i w:val="0"/>
        <w:smallCaps w:val="0"/>
        <w:strike w:val="0"/>
        <w:color w:val="ff1f64"/>
        <w:sz w:val="16"/>
        <w:szCs w:val="16"/>
        <w:u w:val="none"/>
        <w:shd w:fill="auto" w:val="clear"/>
        <w:vertAlign w:val="baseline"/>
        <w:rtl w:val="0"/>
      </w:rPr>
      <w:t xml:space="preserve">|</w:t>
    </w:r>
    <w:r w:rsidDel="00000000" w:rsidR="00000000" w:rsidRPr="00000000">
      <w:rPr>
        <w:rFonts w:ascii="Arial" w:cs="Arial" w:eastAsia="Arial" w:hAnsi="Arial"/>
        <w:b w:val="0"/>
        <w:i w:val="0"/>
        <w:smallCaps w:val="0"/>
        <w:strike w:val="0"/>
        <w:color w:val="808080"/>
        <w:sz w:val="16"/>
        <w:szCs w:val="1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F">
    <w:pPr>
      <w:rPr>
        <w:vertAlign w:val="baseline"/>
      </w:rPr>
    </w:pPr>
    <w:r w:rsidDel="00000000" w:rsidR="00000000" w:rsidRPr="00000000">
      <w:rPr/>
      <w:drawing>
        <wp:anchor allowOverlap="1" behindDoc="1" distB="0" distT="0" distL="0" distR="0" hidden="0" layoutInCell="1" locked="0" relativeHeight="0" simplePos="0">
          <wp:simplePos x="0" y="0"/>
          <wp:positionH relativeFrom="leftMargin">
            <wp:align>center</wp:align>
          </wp:positionH>
          <wp:positionV relativeFrom="topMargin">
            <wp:align>center</wp:align>
          </wp:positionV>
          <wp:extent cx="7558405" cy="10695940"/>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558405" cy="10695940"/>
                  </a:xfrm>
                  <a:prstGeom prst="rect"/>
                  <a:ln/>
                </pic:spPr>
              </pic:pic>
            </a:graphicData>
          </a:graphic>
        </wp:anchor>
      </w:drawing>
    </w:r>
    <w:r w:rsidDel="00000000" w:rsidR="00000000" w:rsidRPr="00000000">
      <w:rPr/>
      <w:pict>
        <v:shape id="WordPictureWatermark1" style="position:absolute;width:595.0pt;height:842.0pt;rotation:0;z-index:-503316481;mso-position-horizontal-relative:left-margin-area;mso-position-horizontal:center;mso-position-vertical-relative:top-margin-area;mso-position-vertical:center;" alt="keydocs-background" type="#_x0000_t75">
          <v:imagedata cropbottom="0f" cropleft="0f" cropright="0f" croptop="0f" r:id="rId2" o:title="image2.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0">
    <w:pPr>
      <w:rPr>
        <w:vertAlign w:val="baseline"/>
      </w:rPr>
    </w:pPr>
    <w:r w:rsidDel="00000000" w:rsidR="00000000" w:rsidRPr="00000000">
      <w:rPr>
        <w:rtl w:val="0"/>
      </w:rPr>
    </w:r>
  </w:p>
  <w:p w:rsidR="00000000" w:rsidDel="00000000" w:rsidP="00000000" w:rsidRDefault="00000000" w:rsidRPr="00000000" w14:paraId="000000D1">
    <w:pPr>
      <w:rP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2">
    <w:pPr>
      <w:rPr>
        <w:vertAlign w:val="baseline"/>
      </w:rPr>
    </w:pPr>
    <w:r w:rsidDel="00000000" w:rsidR="00000000" w:rsidRPr="00000000">
      <w:rPr>
        <w:rtl w:val="0"/>
      </w:rPr>
    </w:r>
  </w:p>
  <w:p w:rsidR="00000000" w:rsidDel="00000000" w:rsidP="00000000" w:rsidRDefault="00000000" w:rsidRPr="00000000" w14:paraId="000000D3">
    <w:pPr>
      <w:rPr>
        <w:vertAlign w:val="baseline"/>
      </w:rPr>
    </w:pPr>
    <w:r w:rsidDel="00000000" w:rsidR="00000000" w:rsidRPr="00000000">
      <w:rPr>
        <w:rtl w:val="0"/>
      </w:rPr>
    </w:r>
  </w:p>
  <w:p w:rsidR="00000000" w:rsidDel="00000000" w:rsidP="00000000" w:rsidRDefault="00000000" w:rsidRPr="00000000" w14:paraId="000000D4">
    <w:pPr>
      <w:rP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40" w:hanging="170"/>
      </w:pPr>
      <w:rPr>
        <w:rFonts w:ascii="Noto Sans Symbols" w:cs="Noto Sans Symbols" w:eastAsia="Noto Sans Symbols" w:hAnsi="Noto Sans Symbols"/>
        <w:color w:val="000000"/>
        <w:vertAlign w:val="baseline"/>
      </w:rPr>
    </w:lvl>
    <w:lvl w:ilvl="1">
      <w:start w:val="1"/>
      <w:numFmt w:val="bullet"/>
      <w:lvlText w:val="o"/>
      <w:lvlJc w:val="left"/>
      <w:pPr>
        <w:ind w:left="1270" w:hanging="360"/>
      </w:pPr>
      <w:rPr>
        <w:rFonts w:ascii="Courier New" w:cs="Courier New" w:eastAsia="Courier New" w:hAnsi="Courier New"/>
        <w:vertAlign w:val="baseline"/>
      </w:rPr>
    </w:lvl>
    <w:lvl w:ilvl="2">
      <w:start w:val="1"/>
      <w:numFmt w:val="bullet"/>
      <w:lvlText w:val="▪"/>
      <w:lvlJc w:val="left"/>
      <w:pPr>
        <w:ind w:left="1990" w:hanging="360"/>
      </w:pPr>
      <w:rPr>
        <w:rFonts w:ascii="Noto Sans Symbols" w:cs="Noto Sans Symbols" w:eastAsia="Noto Sans Symbols" w:hAnsi="Noto Sans Symbols"/>
        <w:vertAlign w:val="baseline"/>
      </w:rPr>
    </w:lvl>
    <w:lvl w:ilvl="3">
      <w:start w:val="1"/>
      <w:numFmt w:val="bullet"/>
      <w:lvlText w:val="●"/>
      <w:lvlJc w:val="left"/>
      <w:pPr>
        <w:ind w:left="2710" w:hanging="360"/>
      </w:pPr>
      <w:rPr>
        <w:rFonts w:ascii="Noto Sans Symbols" w:cs="Noto Sans Symbols" w:eastAsia="Noto Sans Symbols" w:hAnsi="Noto Sans Symbols"/>
        <w:vertAlign w:val="baseline"/>
      </w:rPr>
    </w:lvl>
    <w:lvl w:ilvl="4">
      <w:start w:val="1"/>
      <w:numFmt w:val="bullet"/>
      <w:lvlText w:val="o"/>
      <w:lvlJc w:val="left"/>
      <w:pPr>
        <w:ind w:left="3430" w:hanging="360"/>
      </w:pPr>
      <w:rPr>
        <w:rFonts w:ascii="Courier New" w:cs="Courier New" w:eastAsia="Courier New" w:hAnsi="Courier New"/>
        <w:vertAlign w:val="baseline"/>
      </w:rPr>
    </w:lvl>
    <w:lvl w:ilvl="5">
      <w:start w:val="1"/>
      <w:numFmt w:val="bullet"/>
      <w:lvlText w:val="▪"/>
      <w:lvlJc w:val="left"/>
      <w:pPr>
        <w:ind w:left="4150" w:hanging="360"/>
      </w:pPr>
      <w:rPr>
        <w:rFonts w:ascii="Noto Sans Symbols" w:cs="Noto Sans Symbols" w:eastAsia="Noto Sans Symbols" w:hAnsi="Noto Sans Symbols"/>
        <w:vertAlign w:val="baseline"/>
      </w:rPr>
    </w:lvl>
    <w:lvl w:ilvl="6">
      <w:start w:val="1"/>
      <w:numFmt w:val="bullet"/>
      <w:lvlText w:val="●"/>
      <w:lvlJc w:val="left"/>
      <w:pPr>
        <w:ind w:left="4870" w:hanging="360"/>
      </w:pPr>
      <w:rPr>
        <w:rFonts w:ascii="Noto Sans Symbols" w:cs="Noto Sans Symbols" w:eastAsia="Noto Sans Symbols" w:hAnsi="Noto Sans Symbols"/>
        <w:vertAlign w:val="baseline"/>
      </w:rPr>
    </w:lvl>
    <w:lvl w:ilvl="7">
      <w:start w:val="1"/>
      <w:numFmt w:val="bullet"/>
      <w:lvlText w:val="o"/>
      <w:lvlJc w:val="left"/>
      <w:pPr>
        <w:ind w:left="5590" w:hanging="360"/>
      </w:pPr>
      <w:rPr>
        <w:rFonts w:ascii="Courier New" w:cs="Courier New" w:eastAsia="Courier New" w:hAnsi="Courier New"/>
        <w:vertAlign w:val="baseline"/>
      </w:rPr>
    </w:lvl>
    <w:lvl w:ilvl="8">
      <w:start w:val="1"/>
      <w:numFmt w:val="bullet"/>
      <w:lvlText w:val="▪"/>
      <w:lvlJc w:val="left"/>
      <w:pPr>
        <w:ind w:left="631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340" w:hanging="170"/>
      </w:pPr>
      <w:rPr>
        <w:rFonts w:ascii="Noto Sans Symbols" w:cs="Noto Sans Symbols" w:eastAsia="Noto Sans Symbols" w:hAnsi="Noto Sans Symbols"/>
        <w:color w:val="000000"/>
        <w:vertAlign w:val="baseline"/>
      </w:rPr>
    </w:lvl>
    <w:lvl w:ilvl="1">
      <w:start w:val="1"/>
      <w:numFmt w:val="bullet"/>
      <w:lvlText w:val="o"/>
      <w:lvlJc w:val="left"/>
      <w:pPr>
        <w:ind w:left="1270" w:hanging="360"/>
      </w:pPr>
      <w:rPr>
        <w:rFonts w:ascii="Courier New" w:cs="Courier New" w:eastAsia="Courier New" w:hAnsi="Courier New"/>
        <w:vertAlign w:val="baseline"/>
      </w:rPr>
    </w:lvl>
    <w:lvl w:ilvl="2">
      <w:start w:val="1"/>
      <w:numFmt w:val="bullet"/>
      <w:lvlText w:val="▪"/>
      <w:lvlJc w:val="left"/>
      <w:pPr>
        <w:ind w:left="1990" w:hanging="360"/>
      </w:pPr>
      <w:rPr>
        <w:rFonts w:ascii="Noto Sans Symbols" w:cs="Noto Sans Symbols" w:eastAsia="Noto Sans Symbols" w:hAnsi="Noto Sans Symbols"/>
        <w:vertAlign w:val="baseline"/>
      </w:rPr>
    </w:lvl>
    <w:lvl w:ilvl="3">
      <w:start w:val="1"/>
      <w:numFmt w:val="bullet"/>
      <w:lvlText w:val="●"/>
      <w:lvlJc w:val="left"/>
      <w:pPr>
        <w:ind w:left="2710" w:hanging="360"/>
      </w:pPr>
      <w:rPr>
        <w:rFonts w:ascii="Noto Sans Symbols" w:cs="Noto Sans Symbols" w:eastAsia="Noto Sans Symbols" w:hAnsi="Noto Sans Symbols"/>
        <w:vertAlign w:val="baseline"/>
      </w:rPr>
    </w:lvl>
    <w:lvl w:ilvl="4">
      <w:start w:val="1"/>
      <w:numFmt w:val="bullet"/>
      <w:lvlText w:val="o"/>
      <w:lvlJc w:val="left"/>
      <w:pPr>
        <w:ind w:left="3430" w:hanging="360"/>
      </w:pPr>
      <w:rPr>
        <w:rFonts w:ascii="Courier New" w:cs="Courier New" w:eastAsia="Courier New" w:hAnsi="Courier New"/>
        <w:vertAlign w:val="baseline"/>
      </w:rPr>
    </w:lvl>
    <w:lvl w:ilvl="5">
      <w:start w:val="1"/>
      <w:numFmt w:val="bullet"/>
      <w:lvlText w:val="▪"/>
      <w:lvlJc w:val="left"/>
      <w:pPr>
        <w:ind w:left="4150" w:hanging="360"/>
      </w:pPr>
      <w:rPr>
        <w:rFonts w:ascii="Noto Sans Symbols" w:cs="Noto Sans Symbols" w:eastAsia="Noto Sans Symbols" w:hAnsi="Noto Sans Symbols"/>
        <w:vertAlign w:val="baseline"/>
      </w:rPr>
    </w:lvl>
    <w:lvl w:ilvl="6">
      <w:start w:val="1"/>
      <w:numFmt w:val="bullet"/>
      <w:lvlText w:val="●"/>
      <w:lvlJc w:val="left"/>
      <w:pPr>
        <w:ind w:left="4870" w:hanging="360"/>
      </w:pPr>
      <w:rPr>
        <w:rFonts w:ascii="Noto Sans Symbols" w:cs="Noto Sans Symbols" w:eastAsia="Noto Sans Symbols" w:hAnsi="Noto Sans Symbols"/>
        <w:vertAlign w:val="baseline"/>
      </w:rPr>
    </w:lvl>
    <w:lvl w:ilvl="7">
      <w:start w:val="1"/>
      <w:numFmt w:val="bullet"/>
      <w:lvlText w:val="o"/>
      <w:lvlJc w:val="left"/>
      <w:pPr>
        <w:ind w:left="5590" w:hanging="360"/>
      </w:pPr>
      <w:rPr>
        <w:rFonts w:ascii="Courier New" w:cs="Courier New" w:eastAsia="Courier New" w:hAnsi="Courier New"/>
        <w:vertAlign w:val="baseline"/>
      </w:rPr>
    </w:lvl>
    <w:lvl w:ilvl="8">
      <w:start w:val="1"/>
      <w:numFmt w:val="bullet"/>
      <w:lvlText w:val="▪"/>
      <w:lvlJc w:val="left"/>
      <w:pPr>
        <w:ind w:left="6310" w:hanging="360"/>
      </w:pPr>
      <w:rPr>
        <w:rFonts w:ascii="Noto Sans Symbols" w:cs="Noto Sans Symbols" w:eastAsia="Noto Sans Symbols" w:hAnsi="Noto Sans Symbols"/>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en-US"/>
      </w:rPr>
    </w:rPrDefault>
    <w:pPrDefault>
      <w:pPr>
        <w:spacing w:after="12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after="120" w:before="120" w:lineRule="auto"/>
    </w:pPr>
    <w:rPr>
      <w:b w:val="1"/>
      <w:color w:val="ff1f64"/>
      <w:sz w:val="28"/>
      <w:szCs w:val="28"/>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firstLine="0"/>
      <w:jc w:val="left"/>
    </w:pPr>
    <w:rPr>
      <w:rFonts w:ascii="Arial" w:cs="Arial" w:eastAsia="Arial" w:hAnsi="Arial"/>
      <w:b w:val="1"/>
      <w:i w:val="0"/>
      <w:smallCaps w:val="0"/>
      <w:strike w:val="0"/>
      <w:color w:val="0d1c2f"/>
      <w:sz w:val="24"/>
      <w:szCs w:val="24"/>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firstLine="0"/>
      <w:jc w:val="left"/>
    </w:pPr>
    <w:rPr>
      <w:rFonts w:ascii="Arial" w:cs="Arial" w:eastAsia="Arial" w:hAnsi="Arial"/>
      <w:b w:val="1"/>
      <w:i w:val="0"/>
      <w:smallCaps w:val="0"/>
      <w:strike w:val="0"/>
      <w:color w:val="7f7f7f"/>
      <w:sz w:val="24"/>
      <w:szCs w:val="24"/>
      <w:u w:val="non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after="120" w:line="1" w:lineRule="atLeast"/>
      <w:ind w:leftChars="-1" w:rightChars="0" w:firstLineChars="-1"/>
      <w:textDirection w:val="btLr"/>
      <w:textAlignment w:val="top"/>
      <w:outlineLvl w:val="0"/>
    </w:pPr>
    <w:rPr>
      <w:w w:val="100"/>
      <w:position w:val="-1"/>
      <w:szCs w:val="24"/>
      <w:effect w:val="none"/>
      <w:vertAlign w:val="baseline"/>
      <w:cs w:val="0"/>
      <w:em w:val="none"/>
      <w:lang w:bidi="ar-SA" w:eastAsia="en-US" w:val="en-US"/>
    </w:rPr>
  </w:style>
  <w:style w:type="paragraph" w:styleId="Heading1">
    <w:name w:val="Heading 1"/>
    <w:basedOn w:val="Normal"/>
    <w:next w:val="6Abstract"/>
    <w:autoRedefine w:val="0"/>
    <w:hidden w:val="0"/>
    <w:qFormat w:val="0"/>
    <w:pPr>
      <w:suppressAutoHyphens w:val="1"/>
      <w:spacing w:after="120" w:before="120" w:line="1" w:lineRule="atLeast"/>
      <w:ind w:leftChars="-1" w:rightChars="0" w:firstLineChars="-1"/>
      <w:textDirection w:val="btLr"/>
      <w:textAlignment w:val="top"/>
      <w:outlineLvl w:val="0"/>
    </w:pPr>
    <w:rPr>
      <w:b w:val="1"/>
      <w:color w:val="ff1f64"/>
      <w:w w:val="100"/>
      <w:position w:val="-1"/>
      <w:sz w:val="28"/>
      <w:szCs w:val="36"/>
      <w:effect w:val="none"/>
      <w:vertAlign w:val="baseline"/>
      <w:cs w:val="0"/>
      <w:em w:val="none"/>
      <w:lang w:bidi="ar-SA" w:eastAsia="en-US" w:val="en-GB"/>
    </w:rPr>
  </w:style>
  <w:style w:type="paragraph" w:styleId="Heading2">
    <w:name w:val="Heading 2"/>
    <w:basedOn w:val="2Subheadpink"/>
    <w:next w:val="Normal"/>
    <w:autoRedefine w:val="0"/>
    <w:hidden w:val="0"/>
    <w:qFormat w:val="0"/>
    <w:pPr>
      <w:keepNext w:val="1"/>
      <w:keepLines w:val="1"/>
      <w:suppressAutoHyphens w:val="1"/>
      <w:spacing w:after="120" w:before="120" w:line="259" w:lineRule="auto"/>
      <w:ind w:leftChars="-1" w:rightChars="0" w:firstLineChars="-1"/>
      <w:textDirection w:val="btLr"/>
      <w:textAlignment w:val="top"/>
      <w:outlineLvl w:val="1"/>
    </w:pPr>
    <w:rPr>
      <w:b w:val="1"/>
      <w:color w:val="0d1c2f"/>
      <w:w w:val="100"/>
      <w:position w:val="-1"/>
      <w:sz w:val="24"/>
      <w:szCs w:val="26"/>
      <w:effect w:val="none"/>
      <w:vertAlign w:val="baseline"/>
      <w:cs w:val="0"/>
      <w:em w:val="none"/>
      <w:lang w:bidi="ar-SA" w:eastAsia="en-US" w:val="en-US"/>
    </w:rPr>
  </w:style>
  <w:style w:type="paragraph" w:styleId="Heading3">
    <w:name w:val="Heading 3"/>
    <w:basedOn w:val="2Subheadpink"/>
    <w:next w:val="1bodycopy10pt"/>
    <w:autoRedefine w:val="0"/>
    <w:hidden w:val="0"/>
    <w:qFormat w:val="0"/>
    <w:pPr>
      <w:keepNext w:val="1"/>
      <w:keepLines w:val="1"/>
      <w:suppressAutoHyphens w:val="1"/>
      <w:spacing w:after="120" w:before="120" w:line="259" w:lineRule="auto"/>
      <w:ind w:leftChars="-1" w:rightChars="0" w:firstLineChars="-1"/>
      <w:textDirection w:val="btLr"/>
      <w:textAlignment w:val="top"/>
      <w:outlineLvl w:val="2"/>
    </w:pPr>
    <w:rPr>
      <w:b w:val="1"/>
      <w:bCs w:val="1"/>
      <w:color w:val="7f7f7f"/>
      <w:w w:val="100"/>
      <w:position w:val="-1"/>
      <w:sz w:val="24"/>
      <w:szCs w:val="32"/>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Heading1Char">
    <w:name w:val="Heading 1 Char"/>
    <w:next w:val="Heading1Char"/>
    <w:autoRedefine w:val="0"/>
    <w:hidden w:val="0"/>
    <w:qFormat w:val="0"/>
    <w:rPr>
      <w:b w:val="1"/>
      <w:color w:val="ff1f64"/>
      <w:w w:val="100"/>
      <w:position w:val="-1"/>
      <w:sz w:val="28"/>
      <w:szCs w:val="36"/>
      <w:effect w:val="none"/>
      <w:vertAlign w:val="baseline"/>
      <w:cs w:val="0"/>
      <w:em w:val="none"/>
      <w:lang w:eastAsia="en-US"/>
    </w:rPr>
  </w:style>
  <w:style w:type="character" w:styleId="Heading3Char">
    <w:name w:val="Heading 3 Char"/>
    <w:next w:val="Heading3Char"/>
    <w:autoRedefine w:val="0"/>
    <w:hidden w:val="0"/>
    <w:qFormat w:val="0"/>
    <w:rPr>
      <w:b w:val="1"/>
      <w:bCs w:val="1"/>
      <w:color w:val="7f7f7f"/>
      <w:w w:val="100"/>
      <w:position w:val="-1"/>
      <w:sz w:val="24"/>
      <w:szCs w:val="32"/>
      <w:effect w:val="none"/>
      <w:vertAlign w:val="baseline"/>
      <w:cs w:val="0"/>
      <w:em w:val="none"/>
      <w:lang w:eastAsia="en-US" w:val="en-US"/>
    </w:rPr>
  </w:style>
  <w:style w:type="paragraph" w:styleId="Footer">
    <w:name w:val="Footer"/>
    <w:basedOn w:val="Normal"/>
    <w:next w:val="Footer"/>
    <w:autoRedefine w:val="0"/>
    <w:hidden w:val="0"/>
    <w:qFormat w:val="1"/>
    <w:pPr>
      <w:shd w:color="auto" w:fill="ffffff" w:val="clear"/>
      <w:suppressAutoHyphens w:val="1"/>
      <w:spacing w:after="120" w:line="1" w:lineRule="atLeast"/>
      <w:ind w:leftChars="-1" w:rightChars="0" w:firstLineChars="-1"/>
      <w:textDirection w:val="btLr"/>
      <w:textAlignment w:val="baseline"/>
      <w:outlineLvl w:val="0"/>
    </w:pPr>
    <w:rPr>
      <w:color w:val="808080"/>
      <w:w w:val="100"/>
      <w:position w:val="-1"/>
      <w:sz w:val="16"/>
      <w:szCs w:val="16"/>
      <w:effect w:val="none"/>
      <w:bdr w:color="auto" w:frame="1" w:space="0" w:sz="0" w:val="none"/>
      <w:vertAlign w:val="baseline"/>
      <w:cs w:val="0"/>
      <w:em w:val="none"/>
      <w:lang w:bidi="ar-SA" w:eastAsia="en-US" w:val="en-US"/>
    </w:rPr>
  </w:style>
  <w:style w:type="character" w:styleId="FooterChar">
    <w:name w:val="Footer Char"/>
    <w:next w:val="FooterChar"/>
    <w:autoRedefine w:val="0"/>
    <w:hidden w:val="0"/>
    <w:qFormat w:val="0"/>
    <w:rPr>
      <w:color w:val="808080"/>
      <w:w w:val="100"/>
      <w:position w:val="-1"/>
      <w:sz w:val="16"/>
      <w:szCs w:val="16"/>
      <w:effect w:val="none"/>
      <w:bdr w:color="auto" w:frame="1" w:space="0" w:sz="0" w:val="none"/>
      <w:shd w:color="auto" w:fill="ffffff" w:val="clear"/>
      <w:vertAlign w:val="baseline"/>
      <w:cs w:val="0"/>
      <w:em w:val="none"/>
      <w:lang w:eastAsia="en-US" w:val="en-US"/>
    </w:rPr>
  </w:style>
  <w:style w:type="character" w:styleId="Hyperlink">
    <w:name w:val="Hyperlink"/>
    <w:next w:val="Hyperlink"/>
    <w:autoRedefine w:val="0"/>
    <w:hidden w:val="0"/>
    <w:qFormat w:val="1"/>
    <w:rPr>
      <w:color w:val="0072cc"/>
      <w:w w:val="100"/>
      <w:position w:val="-1"/>
      <w:u w:val="single"/>
      <w:effect w:val="none"/>
      <w:vertAlign w:val="baseline"/>
      <w:cs w:val="0"/>
      <w:em w:val="none"/>
      <w:lang/>
    </w:rPr>
  </w:style>
  <w:style w:type="paragraph" w:styleId="1bodycopy10pt">
    <w:name w:val="1 body copy 10pt"/>
    <w:basedOn w:val="Normal"/>
    <w:next w:val="1bodycopy10pt"/>
    <w:autoRedefine w:val="0"/>
    <w:hidden w:val="0"/>
    <w:qFormat w:val="0"/>
    <w:pPr>
      <w:suppressAutoHyphens w:val="1"/>
      <w:spacing w:after="120" w:line="1" w:lineRule="atLeast"/>
      <w:ind w:leftChars="-1" w:rightChars="0" w:firstLineChars="-1"/>
      <w:textDirection w:val="btLr"/>
      <w:textAlignment w:val="top"/>
      <w:outlineLvl w:val="0"/>
    </w:pPr>
    <w:rPr>
      <w:w w:val="100"/>
      <w:position w:val="-1"/>
      <w:szCs w:val="24"/>
      <w:effect w:val="none"/>
      <w:vertAlign w:val="baseline"/>
      <w:cs w:val="0"/>
      <w:em w:val="none"/>
      <w:lang w:bidi="ar-SA" w:eastAsia="en-US" w:val="en-US"/>
    </w:rPr>
  </w:style>
  <w:style w:type="character" w:styleId="Heading2Char">
    <w:name w:val="Heading 2 Char"/>
    <w:next w:val="Heading2Char"/>
    <w:autoRedefine w:val="0"/>
    <w:hidden w:val="0"/>
    <w:qFormat w:val="0"/>
    <w:rPr>
      <w:b w:val="1"/>
      <w:color w:val="0d1c2f"/>
      <w:w w:val="100"/>
      <w:position w:val="-1"/>
      <w:sz w:val="24"/>
      <w:szCs w:val="26"/>
      <w:effect w:val="none"/>
      <w:vertAlign w:val="baseline"/>
      <w:cs w:val="0"/>
      <w:em w:val="none"/>
      <w:lang w:eastAsia="en-US" w:val="en-US"/>
    </w:rPr>
  </w:style>
  <w:style w:type="paragraph" w:styleId="2Subheadpink">
    <w:name w:val="2 Subhead pink"/>
    <w:next w:val="1bodycopy10pt"/>
    <w:autoRedefine w:val="0"/>
    <w:hidden w:val="0"/>
    <w:qFormat w:val="0"/>
    <w:pPr>
      <w:suppressAutoHyphens w:val="1"/>
      <w:spacing w:after="120" w:before="360" w:line="259" w:lineRule="auto"/>
      <w:ind w:leftChars="-1" w:rightChars="0" w:firstLineChars="-1"/>
      <w:textDirection w:val="btLr"/>
      <w:textAlignment w:val="top"/>
      <w:outlineLvl w:val="0"/>
    </w:pPr>
    <w:rPr>
      <w:b w:val="1"/>
      <w:color w:val="ff1f64"/>
      <w:w w:val="100"/>
      <w:position w:val="-1"/>
      <w:sz w:val="32"/>
      <w:szCs w:val="32"/>
      <w:effect w:val="none"/>
      <w:vertAlign w:val="baseline"/>
      <w:cs w:val="0"/>
      <w:em w:val="none"/>
      <w:lang w:bidi="ar-SA" w:eastAsia="en-US" w:val="en-US"/>
    </w:rPr>
  </w:style>
  <w:style w:type="paragraph" w:styleId="SlugTheKey">
    <w:name w:val="Slug The Key"/>
    <w:next w:val="Normal"/>
    <w:autoRedefine w:val="0"/>
    <w:hidden w:val="0"/>
    <w:qFormat w:val="0"/>
    <w:pPr>
      <w:suppressAutoHyphens w:val="1"/>
      <w:spacing w:after="160" w:line="259" w:lineRule="auto"/>
      <w:ind w:leftChars="-1" w:rightChars="0" w:firstLineChars="-1"/>
      <w:jc w:val="center"/>
      <w:textDirection w:val="btLr"/>
      <w:textAlignment w:val="top"/>
      <w:outlineLvl w:val="0"/>
    </w:pPr>
    <w:rPr>
      <w:caps w:val="1"/>
      <w:color w:val="ffffff"/>
      <w:w w:val="100"/>
      <w:position w:val="-1"/>
      <w:sz w:val="18"/>
      <w:szCs w:val="18"/>
      <w:effect w:val="none"/>
      <w:vertAlign w:val="baseline"/>
      <w:cs w:val="0"/>
      <w:em w:val="none"/>
      <w:lang w:bidi="ar-SA" w:eastAsia="en-US" w:val="en-US"/>
    </w:rPr>
  </w:style>
  <w:style w:type="paragraph" w:styleId="TKheadingpink">
    <w:name w:val="TK heading pink"/>
    <w:next w:val="1bodycopy10pt"/>
    <w:autoRedefine w:val="0"/>
    <w:hidden w:val="0"/>
    <w:qFormat w:val="0"/>
    <w:pPr>
      <w:suppressAutoHyphens w:val="0"/>
      <w:spacing w:after="480" w:line="1" w:lineRule="atLeast"/>
      <w:ind w:leftChars="-1" w:rightChars="0" w:firstLineChars="-1"/>
      <w:textDirection w:val="btLr"/>
      <w:textAlignment w:val="top"/>
      <w:outlineLvl w:val="0"/>
    </w:pPr>
    <w:rPr>
      <w:b w:val="1"/>
      <w:color w:val="ff1f64"/>
      <w:w w:val="100"/>
      <w:position w:val="-1"/>
      <w:sz w:val="60"/>
      <w:szCs w:val="24"/>
      <w:effect w:val="none"/>
      <w:vertAlign w:val="baseline"/>
      <w:cs w:val="0"/>
      <w:em w:val="none"/>
      <w:lang w:bidi="ar-SA" w:eastAsia="en-US" w:val="en-US"/>
    </w:rPr>
  </w:style>
  <w:style w:type="paragraph" w:styleId="8DON'Tsbullet">
    <w:name w:val="8 DON'Ts bullet"/>
    <w:basedOn w:val="Normal"/>
    <w:next w:val="8DON'Tsbullet"/>
    <w:autoRedefine w:val="0"/>
    <w:hidden w:val="0"/>
    <w:qFormat w:val="0"/>
    <w:pPr>
      <w:numPr>
        <w:ilvl w:val="0"/>
        <w:numId w:val="10"/>
      </w:numPr>
      <w:suppressAutoHyphens w:val="0"/>
      <w:spacing w:after="120" w:line="1" w:lineRule="atLeast"/>
      <w:ind w:right="284" w:leftChars="-1" w:rightChars="0" w:firstLineChars="-1"/>
      <w:textDirection w:val="btLr"/>
      <w:textAlignment w:val="top"/>
      <w:outlineLvl w:val="0"/>
    </w:pPr>
    <w:rPr>
      <w:b w:val="1"/>
      <w:w w:val="100"/>
      <w:position w:val="-1"/>
      <w:sz w:val="24"/>
      <w:szCs w:val="20"/>
      <w:effect w:val="none"/>
      <w:vertAlign w:val="baseline"/>
      <w:cs w:val="0"/>
      <w:em w:val="none"/>
      <w:lang w:bidi="ar-SA" w:eastAsia="en-US" w:val="en-US"/>
    </w:rPr>
  </w:style>
  <w:style w:type="paragraph" w:styleId="7DOsbullet">
    <w:name w:val="7 DOs bullet"/>
    <w:basedOn w:val="Normal"/>
    <w:next w:val="7DOsbullet"/>
    <w:autoRedefine w:val="0"/>
    <w:hidden w:val="0"/>
    <w:qFormat w:val="0"/>
    <w:pPr>
      <w:numPr>
        <w:ilvl w:val="0"/>
        <w:numId w:val="11"/>
      </w:numPr>
      <w:suppressAutoHyphens w:val="1"/>
      <w:spacing w:after="120" w:line="1" w:lineRule="atLeast"/>
      <w:ind w:right="284" w:leftChars="-1" w:rightChars="0" w:firstLineChars="-1"/>
      <w:textDirection w:val="btLr"/>
      <w:textAlignment w:val="top"/>
      <w:outlineLvl w:val="0"/>
    </w:pPr>
    <w:rPr>
      <w:b w:val="1"/>
      <w:w w:val="100"/>
      <w:position w:val="-1"/>
      <w:sz w:val="24"/>
      <w:szCs w:val="20"/>
      <w:effect w:val="none"/>
      <w:vertAlign w:val="baseline"/>
      <w:cs w:val="0"/>
      <w:em w:val="none"/>
      <w:lang w:bidi="ar-SA" w:eastAsia="en-US" w:val="en-US"/>
    </w:rPr>
  </w:style>
  <w:style w:type="paragraph" w:styleId="4Bulletedcopyblue">
    <w:name w:val="4 Bulleted copy blue"/>
    <w:basedOn w:val="Normal"/>
    <w:next w:val="4Bulletedcopyblue"/>
    <w:autoRedefine w:val="0"/>
    <w:hidden w:val="0"/>
    <w:qFormat w:val="0"/>
    <w:pPr>
      <w:numPr>
        <w:ilvl w:val="0"/>
        <w:numId w:val="12"/>
      </w:numPr>
      <w:suppressAutoHyphens w:val="1"/>
      <w:spacing w:after="120" w:line="1" w:lineRule="atLeast"/>
      <w:ind w:leftChars="-1" w:rightChars="0" w:firstLineChars="-1"/>
      <w:textDirection w:val="btLr"/>
      <w:textAlignment w:val="top"/>
      <w:outlineLvl w:val="0"/>
    </w:pPr>
    <w:rPr>
      <w:w w:val="100"/>
      <w:position w:val="-1"/>
      <w:szCs w:val="20"/>
      <w:effect w:val="none"/>
      <w:vertAlign w:val="baseline"/>
      <w:cs w:val="0"/>
      <w:em w:val="none"/>
      <w:lang w:bidi="ar-SA" w:eastAsia="en-US" w:val="en-US"/>
    </w:rPr>
  </w:style>
  <w:style w:type="paragraph" w:styleId="9Boxheading">
    <w:name w:val="9 Box heading"/>
    <w:basedOn w:val="Normal"/>
    <w:next w:val="9Boxheading"/>
    <w:autoRedefine w:val="0"/>
    <w:hidden w:val="0"/>
    <w:qFormat w:val="0"/>
    <w:pPr>
      <w:suppressAutoHyphens w:val="1"/>
      <w:spacing w:after="120" w:line="1" w:lineRule="atLeast"/>
      <w:ind w:leftChars="-1" w:rightChars="0" w:firstLineChars="-1"/>
      <w:textDirection w:val="btLr"/>
      <w:textAlignment w:val="top"/>
      <w:outlineLvl w:val="0"/>
    </w:pPr>
    <w:rPr>
      <w:b w:val="1"/>
      <w:color w:val="12263f"/>
      <w:w w:val="100"/>
      <w:position w:val="-1"/>
      <w:sz w:val="24"/>
      <w:szCs w:val="24"/>
      <w:effect w:val="none"/>
      <w:vertAlign w:val="baseline"/>
      <w:cs w:val="0"/>
      <w:em w:val="none"/>
      <w:lang w:bidi="ar-SA" w:eastAsia="en-US" w:val="en-US"/>
    </w:rPr>
  </w:style>
  <w:style w:type="paragraph" w:styleId="9Secondbullet">
    <w:name w:val="9 Second bullet"/>
    <w:basedOn w:val="1bodycopy10pt"/>
    <w:next w:val="9Secondbullet"/>
    <w:autoRedefine w:val="0"/>
    <w:hidden w:val="0"/>
    <w:qFormat w:val="0"/>
    <w:pPr>
      <w:numPr>
        <w:ilvl w:val="0"/>
        <w:numId w:val="13"/>
      </w:numPr>
      <w:suppressAutoHyphens w:val="1"/>
      <w:spacing w:after="120" w:line="1" w:lineRule="atLeast"/>
      <w:ind w:right="567" w:leftChars="-1" w:rightChars="0" w:firstLineChars="-1"/>
      <w:textDirection w:val="btLr"/>
      <w:textAlignment w:val="top"/>
      <w:outlineLvl w:val="0"/>
    </w:pPr>
    <w:rPr>
      <w:w w:val="100"/>
      <w:position w:val="-1"/>
      <w:szCs w:val="24"/>
      <w:effect w:val="none"/>
      <w:vertAlign w:val="baseline"/>
      <w:cs w:val="0"/>
      <w:em w:val="none"/>
      <w:lang w:bidi="ar-SA" w:eastAsia="en-US" w:val="en-US"/>
    </w:rPr>
  </w:style>
  <w:style w:type="paragraph" w:styleId="BalloonText">
    <w:name w:val="Balloon Text"/>
    <w:basedOn w:val="Normal"/>
    <w:next w:val="BalloonText"/>
    <w:autoRedefine w:val="0"/>
    <w:hidden w:val="0"/>
    <w:qFormat w:val="1"/>
    <w:pPr>
      <w:suppressAutoHyphens w:val="1"/>
      <w:spacing w:after="120" w:line="1" w:lineRule="atLeast"/>
      <w:ind w:leftChars="-1" w:rightChars="0" w:firstLineChars="-1"/>
      <w:textDirection w:val="btLr"/>
      <w:textAlignment w:val="top"/>
      <w:outlineLvl w:val="0"/>
    </w:pPr>
    <w:rPr>
      <w:rFonts w:ascii="Segoe UI" w:cs="Segoe UI" w:eastAsia="MS Mincho" w:hAnsi="Segoe UI"/>
      <w:w w:val="100"/>
      <w:position w:val="-1"/>
      <w:sz w:val="18"/>
      <w:szCs w:val="18"/>
      <w:effect w:val="none"/>
      <w:vertAlign w:val="baseline"/>
      <w:cs w:val="0"/>
      <w:em w:val="none"/>
      <w:lang w:bidi="ar-SA" w:eastAsia="en-US" w:val="en-US"/>
    </w:rPr>
  </w:style>
  <w:style w:type="character" w:styleId="1bodycopy10ptChar">
    <w:name w:val="1 body copy 10pt Char"/>
    <w:next w:val="1bodycopy10ptChar"/>
    <w:autoRedefine w:val="0"/>
    <w:hidden w:val="0"/>
    <w:qFormat w:val="0"/>
    <w:rPr>
      <w:w w:val="100"/>
      <w:position w:val="-1"/>
      <w:szCs w:val="24"/>
      <w:effect w:val="none"/>
      <w:vertAlign w:val="baseline"/>
      <w:cs w:val="0"/>
      <w:em w:val="none"/>
      <w:lang w:eastAsia="en-US" w:val="en-US"/>
    </w:rPr>
  </w:style>
  <w:style w:type="character" w:styleId="9SecondbulletChar">
    <w:name w:val="9 Second bullet Char"/>
    <w:next w:val="9SecondbulletChar"/>
    <w:autoRedefine w:val="0"/>
    <w:hidden w:val="0"/>
    <w:qFormat w:val="0"/>
    <w:rPr>
      <w:w w:val="100"/>
      <w:position w:val="-1"/>
      <w:szCs w:val="24"/>
      <w:effect w:val="none"/>
      <w:vertAlign w:val="baseline"/>
      <w:cs w:val="0"/>
      <w:em w:val="none"/>
      <w:lang w:eastAsia="en-US" w:val="en-US"/>
    </w:rPr>
  </w:style>
  <w:style w:type="character" w:styleId="BalloonTextChar">
    <w:name w:val="Balloon Text Char"/>
    <w:next w:val="BalloonTextChar"/>
    <w:autoRedefine w:val="0"/>
    <w:hidden w:val="0"/>
    <w:qFormat w:val="0"/>
    <w:rPr>
      <w:rFonts w:ascii="Segoe UI" w:cs="Segoe UI" w:eastAsia="MS Mincho" w:hAnsi="Segoe UI"/>
      <w:w w:val="100"/>
      <w:position w:val="-1"/>
      <w:sz w:val="18"/>
      <w:szCs w:val="18"/>
      <w:effect w:val="none"/>
      <w:vertAlign w:val="baseline"/>
      <w:cs w:val="0"/>
      <w:em w:val="none"/>
      <w:lang w:val="en-US"/>
    </w:rPr>
  </w:style>
  <w:style w:type="character" w:styleId="Strong">
    <w:name w:val="Strong"/>
    <w:next w:val="Strong"/>
    <w:autoRedefine w:val="0"/>
    <w:hidden w:val="0"/>
    <w:qFormat w:val="0"/>
    <w:rPr>
      <w:rFonts w:ascii="Arial" w:hAnsi="Arial"/>
      <w:b w:val="1"/>
      <w:bCs w:val="1"/>
      <w:w w:val="100"/>
      <w:position w:val="-1"/>
      <w:sz w:val="22"/>
      <w:effect w:val="none"/>
      <w:vertAlign w:val="baseline"/>
      <w:cs w:val="0"/>
      <w:em w:val="none"/>
      <w:lang/>
    </w:rPr>
  </w:style>
  <w:style w:type="paragraph" w:styleId="6Abstract">
    <w:name w:val="6 Abstract"/>
    <w:next w:val="6Abstract"/>
    <w:autoRedefine w:val="0"/>
    <w:hidden w:val="0"/>
    <w:qFormat w:val="0"/>
    <w:pPr>
      <w:suppressAutoHyphens w:val="1"/>
      <w:spacing w:after="240" w:line="259" w:lineRule="auto"/>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TOC2">
    <w:name w:val="TOC 2"/>
    <w:basedOn w:val="Normal"/>
    <w:next w:val="Normal"/>
    <w:autoRedefine w:val="0"/>
    <w:hidden w:val="0"/>
    <w:qFormat w:val="1"/>
    <w:pPr>
      <w:suppressAutoHyphens w:val="1"/>
      <w:spacing w:after="100" w:line="1" w:lineRule="atLeast"/>
      <w:ind w:left="220" w:leftChars="-1" w:rightChars="0" w:firstLineChars="-1"/>
      <w:textDirection w:val="btLr"/>
      <w:textAlignment w:val="top"/>
      <w:outlineLvl w:val="0"/>
    </w:pPr>
    <w:rPr>
      <w:w w:val="100"/>
      <w:position w:val="-1"/>
      <w:szCs w:val="24"/>
      <w:effect w:val="none"/>
      <w:vertAlign w:val="baseline"/>
      <w:cs w:val="0"/>
      <w:em w:val="none"/>
      <w:lang w:bidi="ar-SA" w:eastAsia="en-US" w:val="en-US"/>
    </w:rPr>
  </w:style>
  <w:style w:type="paragraph" w:styleId="Text">
    <w:name w:val="Text"/>
    <w:basedOn w:val="BodyText"/>
    <w:next w:val="Text"/>
    <w:autoRedefine w:val="0"/>
    <w:hidden w:val="0"/>
    <w:qFormat w:val="0"/>
    <w:pPr>
      <w:suppressAutoHyphens w:val="1"/>
      <w:spacing w:after="120" w:line="1" w:lineRule="atLeast"/>
      <w:ind w:leftChars="-1" w:rightChars="0" w:firstLineChars="-1"/>
      <w:textDirection w:val="btLr"/>
      <w:textAlignment w:val="top"/>
      <w:outlineLvl w:val="0"/>
    </w:pPr>
    <w:rPr>
      <w:w w:val="100"/>
      <w:position w:val="-1"/>
      <w:szCs w:val="20"/>
      <w:effect w:val="none"/>
      <w:vertAlign w:val="baseline"/>
      <w:cs w:val="0"/>
      <w:em w:val="none"/>
      <w:lang w:bidi="ar-SA" w:eastAsia="en-US" w:val="en-US"/>
    </w:rPr>
  </w:style>
  <w:style w:type="character" w:styleId="TextChar">
    <w:name w:val="Text Char"/>
    <w:next w:val="TextChar"/>
    <w:autoRedefine w:val="0"/>
    <w:hidden w:val="0"/>
    <w:qFormat w:val="0"/>
    <w:rPr>
      <w:w w:val="100"/>
      <w:position w:val="-1"/>
      <w:effect w:val="none"/>
      <w:vertAlign w:val="baseline"/>
      <w:cs w:val="0"/>
      <w:em w:val="none"/>
      <w:lang w:eastAsia="en-US" w:val="en-US"/>
    </w:rPr>
  </w:style>
  <w:style w:type="paragraph" w:styleId="9TableHeading">
    <w:name w:val="9 Table Heading"/>
    <w:basedOn w:val="Text"/>
    <w:next w:val="9TableHeading"/>
    <w:autoRedefine w:val="0"/>
    <w:hidden w:val="0"/>
    <w:qFormat w:val="0"/>
    <w:pPr>
      <w:suppressAutoHyphens w:val="1"/>
      <w:spacing w:after="0" w:line="1" w:lineRule="atLeast"/>
      <w:ind w:leftChars="-1" w:rightChars="0" w:firstLineChars="-1"/>
      <w:textDirection w:val="btLr"/>
      <w:textAlignment w:val="top"/>
      <w:outlineLvl w:val="0"/>
    </w:pPr>
    <w:rPr>
      <w:caps w:val="1"/>
      <w:w w:val="100"/>
      <w:position w:val="-1"/>
      <w:szCs w:val="20"/>
      <w:effect w:val="none"/>
      <w:vertAlign w:val="baseline"/>
      <w:cs w:val="0"/>
      <w:em w:val="none"/>
      <w:lang w:bidi="ar-SA" w:eastAsia="en-US" w:val="en-US"/>
    </w:rPr>
  </w:style>
  <w:style w:type="character" w:styleId="9TableHeadingChar">
    <w:name w:val="9 Table Heading Char"/>
    <w:next w:val="9TableHeadingChar"/>
    <w:autoRedefine w:val="0"/>
    <w:hidden w:val="0"/>
    <w:qFormat w:val="0"/>
    <w:rPr>
      <w:caps w:val="1"/>
      <w:w w:val="100"/>
      <w:position w:val="-1"/>
      <w:effect w:val="none"/>
      <w:vertAlign w:val="baseline"/>
      <w:cs w:val="0"/>
      <w:em w:val="none"/>
      <w:lang w:eastAsia="en-US" w:val="en-US"/>
    </w:rPr>
  </w:style>
  <w:style w:type="paragraph" w:styleId="Bodycopyitalic">
    <w:name w:val="Body copy italic"/>
    <w:basedOn w:val="Normal"/>
    <w:next w:val="Bodycopyitalic"/>
    <w:autoRedefine w:val="0"/>
    <w:hidden w:val="0"/>
    <w:qFormat w:val="0"/>
    <w:pPr>
      <w:suppressAutoHyphens w:val="1"/>
      <w:spacing w:after="120" w:line="1" w:lineRule="atLeast"/>
      <w:ind w:right="284" w:leftChars="-1" w:rightChars="0" w:firstLineChars="-1"/>
      <w:textDirection w:val="btLr"/>
      <w:textAlignment w:val="top"/>
      <w:outlineLvl w:val="0"/>
    </w:pPr>
    <w:rPr>
      <w:i w:val="1"/>
      <w:w w:val="100"/>
      <w:position w:val="-1"/>
      <w:szCs w:val="24"/>
      <w:effect w:val="none"/>
      <w:vertAlign w:val="baseline"/>
      <w:cs w:val="0"/>
      <w:em w:val="none"/>
      <w:lang w:bidi="ar-SA" w:eastAsia="en-US" w:val="en-US"/>
    </w:rPr>
  </w:style>
  <w:style w:type="paragraph" w:styleId="BodyText">
    <w:name w:val="Body Text"/>
    <w:basedOn w:val="Normal"/>
    <w:next w:val="BodyText"/>
    <w:autoRedefine w:val="0"/>
    <w:hidden w:val="0"/>
    <w:qFormat w:val="1"/>
    <w:pPr>
      <w:suppressAutoHyphens w:val="1"/>
      <w:spacing w:after="120" w:line="1" w:lineRule="atLeast"/>
      <w:ind w:leftChars="-1" w:rightChars="0" w:firstLineChars="-1"/>
      <w:textDirection w:val="btLr"/>
      <w:textAlignment w:val="top"/>
      <w:outlineLvl w:val="0"/>
    </w:pPr>
    <w:rPr>
      <w:w w:val="100"/>
      <w:position w:val="-1"/>
      <w:szCs w:val="24"/>
      <w:effect w:val="none"/>
      <w:vertAlign w:val="baseline"/>
      <w:cs w:val="0"/>
      <w:em w:val="none"/>
      <w:lang w:bidi="ar-SA" w:eastAsia="en-US" w:val="en-US"/>
    </w:rPr>
  </w:style>
  <w:style w:type="character" w:styleId="BodyTextChar">
    <w:name w:val="Body Text Char"/>
    <w:next w:val="BodyTextChar"/>
    <w:autoRedefine w:val="0"/>
    <w:hidden w:val="0"/>
    <w:qFormat w:val="0"/>
    <w:rPr>
      <w:w w:val="100"/>
      <w:position w:val="-1"/>
      <w:sz w:val="22"/>
      <w:szCs w:val="24"/>
      <w:effect w:val="none"/>
      <w:vertAlign w:val="baseline"/>
      <w:cs w:val="0"/>
      <w:em w:val="none"/>
      <w:lang w:eastAsia="en-US" w:val="en-US"/>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ableHeading">
    <w:name w:val="TableHeading"/>
    <w:basedOn w:val="1bodycopy10pt"/>
    <w:next w:val="TableHeading"/>
    <w:autoRedefine w:val="0"/>
    <w:hidden w:val="0"/>
    <w:qFormat w:val="0"/>
    <w:pPr>
      <w:suppressAutoHyphens w:val="1"/>
      <w:spacing w:after="0" w:line="1" w:lineRule="atLeast"/>
      <w:ind w:leftChars="-1" w:rightChars="0" w:firstLineChars="-1"/>
      <w:textDirection w:val="btLr"/>
      <w:textAlignment w:val="top"/>
      <w:outlineLvl w:val="0"/>
    </w:pPr>
    <w:rPr>
      <w:w w:val="100"/>
      <w:position w:val="-1"/>
      <w:szCs w:val="24"/>
      <w:effect w:val="none"/>
      <w:vertAlign w:val="baseline"/>
      <w:cs w:val="0"/>
      <w:em w:val="none"/>
      <w:lang w:bidi="ar-SA" w:eastAsia="en-US" w:val="en-US"/>
    </w:rPr>
  </w:style>
  <w:style w:type="character" w:styleId="TableHeadingChar">
    <w:name w:val="TableHeading Char"/>
    <w:next w:val="TableHeadingChar"/>
    <w:autoRedefine w:val="0"/>
    <w:hidden w:val="0"/>
    <w:qFormat w:val="0"/>
    <w:rPr>
      <w:w w:val="100"/>
      <w:position w:val="-1"/>
      <w:szCs w:val="24"/>
      <w:effect w:val="none"/>
      <w:vertAlign w:val="baseline"/>
      <w:cs w:val="0"/>
      <w:em w:val="none"/>
      <w:lang w:eastAsia="en-US" w:val="en-US"/>
    </w:rPr>
  </w:style>
  <w:style w:type="table" w:styleId="TheKeytable">
    <w:name w:val="The Key table"/>
    <w:basedOn w:val="TableNormal"/>
    <w:next w:val="TheKeytable"/>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heKeytable"/>
      <w:jc w:val="left"/>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CellMar>
        <w:top w:w="57.0" w:type="dxa"/>
        <w:bottom w:w="57.0" w:type="dxa"/>
      </w:tblCellMar>
    </w:tblPr>
  </w:style>
  <w:style w:type="table" w:styleId="Style1">
    <w:name w:val="Style1"/>
    <w:basedOn w:val="TheKeytable"/>
    <w:next w:val="Style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Style1"/>
      <w:jc w:val="left"/>
    </w:tblPr>
  </w:style>
  <w:style w:type="paragraph" w:styleId="Tablecopy">
    <w:name w:val="Table copy"/>
    <w:basedOn w:val="1bodycopy10pt"/>
    <w:next w:val="Tablecopy"/>
    <w:autoRedefine w:val="0"/>
    <w:hidden w:val="0"/>
    <w:qFormat w:val="0"/>
    <w:pPr>
      <w:suppressAutoHyphens w:val="1"/>
      <w:spacing w:after="120" w:line="1" w:lineRule="atLeast"/>
      <w:ind w:leftChars="-1" w:rightChars="0" w:firstLineChars="-1"/>
      <w:textDirection w:val="btLr"/>
      <w:textAlignment w:val="top"/>
      <w:outlineLvl w:val="0"/>
    </w:pPr>
    <w:rPr>
      <w:w w:val="100"/>
      <w:position w:val="-1"/>
      <w:szCs w:val="20"/>
      <w:effect w:val="none"/>
      <w:vertAlign w:val="baseline"/>
      <w:cs w:val="0"/>
      <w:em w:val="none"/>
      <w:lang w:bidi="ar-SA" w:eastAsia="en-US" w:val="en-US"/>
    </w:rPr>
  </w:style>
  <w:style w:type="character" w:styleId="apple-converted-space">
    <w:name w:val="apple-converted-space"/>
    <w:next w:val="apple-converted-space"/>
    <w:autoRedefine w:val="0"/>
    <w:hidden w:val="0"/>
    <w:qFormat w:val="0"/>
    <w:rPr>
      <w:w w:val="100"/>
      <w:position w:val="-1"/>
      <w:effect w:val="none"/>
      <w:vertAlign w:val="baseline"/>
      <w:cs w:val="0"/>
      <w:em w:val="none"/>
      <w:lang/>
    </w:rPr>
  </w:style>
  <w:style w:type="paragraph" w:styleId="Subheadwithpointer">
    <w:name w:val="Subhead with pointer"/>
    <w:basedOn w:val="Normal"/>
    <w:next w:val="6Abstract"/>
    <w:autoRedefine w:val="0"/>
    <w:hidden w:val="0"/>
    <w:qFormat w:val="0"/>
    <w:pPr>
      <w:numPr>
        <w:ilvl w:val="0"/>
        <w:numId w:val="14"/>
      </w:numPr>
      <w:suppressAutoHyphens w:val="1"/>
      <w:spacing w:after="120" w:before="120" w:line="1" w:lineRule="atLeast"/>
      <w:ind w:right="850" w:leftChars="-1" w:rightChars="0" w:firstLineChars="-1"/>
      <w:textDirection w:val="btLr"/>
      <w:textAlignment w:val="top"/>
      <w:outlineLvl w:val="0"/>
    </w:pPr>
    <w:rPr>
      <w:b w:val="1"/>
      <w:bCs w:val="1"/>
      <w:color w:val="12263f"/>
      <w:w w:val="100"/>
      <w:position w:val="-1"/>
      <w:sz w:val="32"/>
      <w:szCs w:val="32"/>
      <w:effect w:val="none"/>
      <w:vertAlign w:val="baseline"/>
      <w:cs w:val="0"/>
      <w:em w:val="none"/>
      <w:lang w:bidi="ar-SA" w:eastAsia="en-US" w:val="en-US"/>
    </w:rPr>
  </w:style>
  <w:style w:type="paragraph" w:styleId="1bodycopy11pt">
    <w:name w:val="1 body copy 11pt"/>
    <w:next w:val="1bodycopy11pt"/>
    <w:autoRedefine w:val="0"/>
    <w:hidden w:val="0"/>
    <w:qFormat w:val="0"/>
    <w:pPr>
      <w:suppressAutoHyphens w:val="1"/>
      <w:spacing w:after="120" w:line="1" w:lineRule="atLeast"/>
      <w:ind w:leftChars="-1" w:rightChars="0" w:firstLineChars="-1"/>
      <w:textDirection w:val="btLr"/>
      <w:textAlignment w:val="top"/>
      <w:outlineLvl w:val="0"/>
    </w:pPr>
    <w:rPr>
      <w:i w:val="1"/>
      <w:w w:val="100"/>
      <w:position w:val="-1"/>
      <w:sz w:val="16"/>
      <w:szCs w:val="16"/>
      <w:effect w:val="none"/>
      <w:vertAlign w:val="baseline"/>
      <w:cs w:val="0"/>
      <w:em w:val="none"/>
      <w:lang w:bidi="ar-SA" w:eastAsia="en-US" w:val="en-US"/>
    </w:rPr>
  </w:style>
  <w:style w:type="character" w:styleId="SubheadwithpointerChar">
    <w:name w:val="Subhead with pointer Char"/>
    <w:next w:val="SubheadwithpointerChar"/>
    <w:autoRedefine w:val="0"/>
    <w:hidden w:val="0"/>
    <w:qFormat w:val="0"/>
    <w:rPr>
      <w:b w:val="1"/>
      <w:bCs w:val="1"/>
      <w:color w:val="12263f"/>
      <w:w w:val="100"/>
      <w:position w:val="-1"/>
      <w:sz w:val="32"/>
      <w:szCs w:val="32"/>
      <w:effect w:val="none"/>
      <w:vertAlign w:val="baseline"/>
      <w:cs w:val="0"/>
      <w:em w:val="none"/>
      <w:lang w:eastAsia="en-US" w:val="en-US"/>
    </w:rPr>
  </w:style>
  <w:style w:type="character" w:styleId="FollowedHyperlink">
    <w:name w:val="FollowedHyperlink"/>
    <w:next w:val="FollowedHyperlink"/>
    <w:autoRedefine w:val="0"/>
    <w:hidden w:val="0"/>
    <w:qFormat w:val="1"/>
    <w:rPr>
      <w:color w:val="954f72"/>
      <w:w w:val="100"/>
      <w:position w:val="-1"/>
      <w:u w:val="single"/>
      <w:effect w:val="none"/>
      <w:vertAlign w:val="baseline"/>
      <w:cs w:val="0"/>
      <w:em w:val="none"/>
      <w:lang/>
    </w:rPr>
  </w:style>
  <w:style w:type="paragraph" w:styleId="Title1">
    <w:name w:val="Title 1"/>
    <w:basedOn w:val="Heading1"/>
    <w:next w:val="Title1"/>
    <w:autoRedefine w:val="0"/>
    <w:hidden w:val="0"/>
    <w:qFormat w:val="0"/>
    <w:pPr>
      <w:keepNext w:val="1"/>
      <w:keepLines w:val="1"/>
      <w:suppressAutoHyphens w:val="1"/>
      <w:spacing w:after="120" w:before="480" w:line="1" w:lineRule="atLeast"/>
      <w:ind w:leftChars="-1" w:rightChars="0" w:firstLineChars="-1"/>
      <w:textDirection w:val="btLr"/>
      <w:textAlignment w:val="top"/>
      <w:outlineLvl w:val="0"/>
    </w:pPr>
    <w:rPr>
      <w:b w:val="0"/>
      <w:bCs w:val="1"/>
      <w:color w:val="ff1f64"/>
      <w:w w:val="100"/>
      <w:position w:val="-1"/>
      <w:sz w:val="52"/>
      <w:szCs w:val="52"/>
      <w:effect w:val="none"/>
      <w:vertAlign w:val="baseline"/>
      <w:cs w:val="0"/>
      <w:em w:val="none"/>
      <w:lang w:bidi="ar-SA" w:eastAsia="en-US" w:val="en-US"/>
    </w:rPr>
  </w:style>
  <w:style w:type="character" w:styleId="Title1Char">
    <w:name w:val="Title 1 Char"/>
    <w:next w:val="Title1Char"/>
    <w:autoRedefine w:val="0"/>
    <w:hidden w:val="0"/>
    <w:qFormat w:val="0"/>
    <w:rPr>
      <w:bCs w:val="1"/>
      <w:w w:val="100"/>
      <w:position w:val="-1"/>
      <w:sz w:val="52"/>
      <w:szCs w:val="52"/>
      <w:effect w:val="none"/>
      <w:vertAlign w:val="baseline"/>
      <w:cs w:val="0"/>
      <w:em w:val="none"/>
      <w:lang w:eastAsia="en-US" w:val="en-US"/>
    </w:rPr>
  </w:style>
  <w:style w:type="paragraph" w:styleId="TOCHeading">
    <w:name w:val="TOC Heading"/>
    <w:basedOn w:val="Heading1"/>
    <w:next w:val="Normal"/>
    <w:autoRedefine w:val="0"/>
    <w:hidden w:val="0"/>
    <w:qFormat w:val="1"/>
    <w:pPr>
      <w:keepNext w:val="1"/>
      <w:keepLines w:val="1"/>
      <w:suppressAutoHyphens w:val="1"/>
      <w:spacing w:after="0" w:before="240" w:line="259" w:lineRule="auto"/>
      <w:ind w:leftChars="-1" w:rightChars="0" w:firstLineChars="-1"/>
      <w:textDirection w:val="btLr"/>
      <w:textAlignment w:val="top"/>
      <w:outlineLvl w:val="9"/>
    </w:pPr>
    <w:rPr>
      <w:rFonts w:ascii="Calibri Light" w:cs="Times New Roman" w:eastAsia="Times New Roman" w:hAnsi="Calibri Light"/>
      <w:b w:val="0"/>
      <w:color w:val="0d1c2f"/>
      <w:w w:val="100"/>
      <w:position w:val="-1"/>
      <w:sz w:val="32"/>
      <w:szCs w:val="32"/>
      <w:effect w:val="none"/>
      <w:vertAlign w:val="baseline"/>
      <w:cs w:val="0"/>
      <w:em w:val="none"/>
      <w:lang w:bidi="ar-SA" w:eastAsia="en-US" w:val="en-US"/>
    </w:rPr>
  </w:style>
  <w:style w:type="paragraph" w:styleId="TOC1">
    <w:name w:val="TOC 1"/>
    <w:basedOn w:val="Normal"/>
    <w:next w:val="Normal"/>
    <w:autoRedefine w:val="0"/>
    <w:hidden w:val="0"/>
    <w:qFormat w:val="1"/>
    <w:pPr>
      <w:suppressAutoHyphens w:val="1"/>
      <w:spacing w:after="100" w:line="1" w:lineRule="atLeast"/>
      <w:ind w:leftChars="-1" w:rightChars="0" w:firstLineChars="-1"/>
      <w:textDirection w:val="btLr"/>
      <w:textAlignment w:val="top"/>
      <w:outlineLvl w:val="0"/>
    </w:pPr>
    <w:rPr>
      <w:w w:val="100"/>
      <w:position w:val="-1"/>
      <w:szCs w:val="24"/>
      <w:effect w:val="none"/>
      <w:vertAlign w:val="baseline"/>
      <w:cs w:val="0"/>
      <w:em w:val="none"/>
      <w:lang w:bidi="ar-SA" w:eastAsia="en-US" w:val="en-US"/>
    </w:rPr>
  </w:style>
  <w:style w:type="paragraph" w:styleId="3Policytitle">
    <w:name w:val="3 Policy title"/>
    <w:basedOn w:val="Normal"/>
    <w:next w:val="3Policytitle"/>
    <w:autoRedefine w:val="0"/>
    <w:hidden w:val="0"/>
    <w:qFormat w:val="0"/>
    <w:pPr>
      <w:suppressAutoHyphens w:val="1"/>
      <w:spacing w:after="120" w:line="1" w:lineRule="atLeast"/>
      <w:ind w:leftChars="-1" w:rightChars="0" w:firstLineChars="-1"/>
      <w:textDirection w:val="btLr"/>
      <w:textAlignment w:val="top"/>
      <w:outlineLvl w:val="0"/>
    </w:pPr>
    <w:rPr>
      <w:b w:val="1"/>
      <w:w w:val="100"/>
      <w:position w:val="-1"/>
      <w:sz w:val="72"/>
      <w:szCs w:val="24"/>
      <w:effect w:val="none"/>
      <w:vertAlign w:val="baseline"/>
      <w:cs w:val="0"/>
      <w:em w:val="none"/>
      <w:lang w:bidi="ar-SA" w:eastAsia="en-US" w:val="en-US"/>
    </w:rPr>
  </w:style>
  <w:style w:type="paragraph" w:styleId="ListParagraph">
    <w:name w:val="List Paragraph"/>
    <w:basedOn w:val="Normal"/>
    <w:next w:val="ListParagraph"/>
    <w:autoRedefine w:val="0"/>
    <w:hidden w:val="0"/>
    <w:qFormat w:val="0"/>
    <w:pPr>
      <w:suppressAutoHyphens w:val="1"/>
      <w:spacing w:after="120" w:line="1" w:lineRule="atLeast"/>
      <w:ind w:left="720" w:leftChars="-1" w:rightChars="0" w:firstLineChars="-1"/>
      <w:contextualSpacing w:val="1"/>
      <w:textDirection w:val="btLr"/>
      <w:textAlignment w:val="top"/>
      <w:outlineLvl w:val="0"/>
    </w:pPr>
    <w:rPr>
      <w:w w:val="100"/>
      <w:position w:val="-1"/>
      <w:szCs w:val="24"/>
      <w:effect w:val="none"/>
      <w:vertAlign w:val="baseline"/>
      <w:cs w:val="0"/>
      <w:em w:val="none"/>
      <w:lang w:bidi="ar-SA" w:eastAsia="en-US" w:val="en-US"/>
    </w:rPr>
  </w:style>
  <w:style w:type="table" w:styleId="TheKeypolicytable">
    <w:name w:val="The Key policy table"/>
    <w:basedOn w:val="TableNormal"/>
    <w:next w:val="TheKeypolicytable"/>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heKeypolicytable"/>
      <w:jc w:val="left"/>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CellMar>
        <w:top w:w="57.0" w:type="dxa"/>
        <w:bottom w:w="57.0" w:type="dxa"/>
      </w:tblCellMar>
    </w:tblPr>
  </w:style>
  <w:style w:type="paragraph" w:styleId="Tablebodycopy">
    <w:name w:val="Table body copy"/>
    <w:basedOn w:val="1bodycopy10pt"/>
    <w:next w:val="Tablebodycopy"/>
    <w:autoRedefine w:val="0"/>
    <w:hidden w:val="0"/>
    <w:qFormat w:val="0"/>
    <w:pPr>
      <w:keepLines w:val="1"/>
      <w:suppressAutoHyphens w:val="1"/>
      <w:spacing w:after="60" w:line="1" w:lineRule="atLeast"/>
      <w:ind w:leftChars="-1" w:rightChars="0" w:firstLineChars="-1"/>
      <w:textDirection w:val="btLr"/>
      <w:textAlignment w:val="top"/>
      <w:textboxTightWrap w:val="allLines"/>
      <w:outlineLvl w:val="0"/>
    </w:pPr>
    <w:rPr>
      <w:w w:val="100"/>
      <w:position w:val="-1"/>
      <w:szCs w:val="24"/>
      <w:effect w:val="none"/>
      <w:vertAlign w:val="baseline"/>
      <w:cs w:val="0"/>
      <w:em w:val="none"/>
      <w:lang w:bidi="ar-SA" w:eastAsia="en-US" w:val="en-US"/>
    </w:rPr>
  </w:style>
  <w:style w:type="paragraph" w:styleId="Bulletedcopylevel2">
    <w:name w:val="Bulleted copy level 2"/>
    <w:basedOn w:val="1bodycopy10pt"/>
    <w:next w:val="Bulletedcopylevel2"/>
    <w:autoRedefine w:val="0"/>
    <w:hidden w:val="0"/>
    <w:qFormat w:val="0"/>
    <w:pPr>
      <w:numPr>
        <w:ilvl w:val="0"/>
        <w:numId w:val="15"/>
      </w:numPr>
      <w:suppressAutoHyphens w:val="1"/>
      <w:spacing w:after="120" w:line="1" w:lineRule="atLeast"/>
      <w:ind w:leftChars="-1" w:rightChars="0" w:firstLineChars="-1"/>
      <w:textDirection w:val="btLr"/>
      <w:textAlignment w:val="top"/>
      <w:outlineLvl w:val="0"/>
    </w:pPr>
    <w:rPr>
      <w:w w:val="100"/>
      <w:position w:val="-1"/>
      <w:szCs w:val="24"/>
      <w:effect w:val="none"/>
      <w:vertAlign w:val="baseline"/>
      <w:cs w:val="0"/>
      <w:em w:val="none"/>
      <w:lang w:bidi="ar-SA" w:eastAsia="en-US" w:val="en-US"/>
    </w:rPr>
  </w:style>
  <w:style w:type="paragraph" w:styleId="Tablecopybulleted">
    <w:name w:val="Table copy bulleted"/>
    <w:basedOn w:val="Tablebodycopy"/>
    <w:next w:val="Tablecopybulleted"/>
    <w:autoRedefine w:val="0"/>
    <w:hidden w:val="0"/>
    <w:qFormat w:val="0"/>
    <w:pPr>
      <w:keepLines w:val="1"/>
      <w:numPr>
        <w:ilvl w:val="0"/>
        <w:numId w:val="16"/>
      </w:numPr>
      <w:suppressAutoHyphens w:val="1"/>
      <w:spacing w:after="60" w:line="1" w:lineRule="atLeast"/>
      <w:ind w:leftChars="-1" w:rightChars="0" w:firstLineChars="-1"/>
      <w:textDirection w:val="btLr"/>
      <w:textAlignment w:val="top"/>
      <w:textboxTightWrap w:val="allLines"/>
      <w:outlineLvl w:val="0"/>
    </w:pPr>
    <w:rPr>
      <w:w w:val="100"/>
      <w:position w:val="-1"/>
      <w:szCs w:val="24"/>
      <w:effect w:val="none"/>
      <w:vertAlign w:val="baseline"/>
      <w:cs w:val="0"/>
      <w:em w:val="none"/>
      <w:lang w:bidi="ar-SA" w:eastAsia="en-US" w:val="en-US"/>
    </w:rPr>
  </w:style>
  <w:style w:type="paragraph" w:styleId="Caption1">
    <w:name w:val="Caption 1"/>
    <w:basedOn w:val="Normal"/>
    <w:next w:val="Caption1"/>
    <w:autoRedefine w:val="0"/>
    <w:hidden w:val="0"/>
    <w:qFormat w:val="0"/>
    <w:pPr>
      <w:suppressAutoHyphens w:val="1"/>
      <w:spacing w:after="120" w:before="120" w:line="1" w:lineRule="atLeast"/>
      <w:ind w:leftChars="-1" w:rightChars="0" w:firstLineChars="-1"/>
      <w:textDirection w:val="btLr"/>
      <w:textAlignment w:val="top"/>
      <w:outlineLvl w:val="0"/>
    </w:pPr>
    <w:rPr>
      <w:i w:val="1"/>
      <w:color w:val="f15f22"/>
      <w:w w:val="100"/>
      <w:position w:val="-1"/>
      <w:szCs w:val="24"/>
      <w:effect w:val="none"/>
      <w:vertAlign w:val="baseline"/>
      <w:cs w:val="0"/>
      <w:em w:val="none"/>
      <w:lang w:bidi="ar-SA" w:eastAsia="en-US" w:val="en-US"/>
    </w:rPr>
  </w:style>
  <w:style w:type="paragraph" w:styleId="Subhead2">
    <w:name w:val="Subhead 2"/>
    <w:basedOn w:val="1bodycopy10pt"/>
    <w:next w:val="1bodycopy10pt"/>
    <w:autoRedefine w:val="0"/>
    <w:hidden w:val="0"/>
    <w:qFormat w:val="0"/>
    <w:pPr>
      <w:suppressAutoHyphens w:val="1"/>
      <w:spacing w:after="120" w:before="240" w:line="1" w:lineRule="atLeast"/>
      <w:ind w:leftChars="-1" w:rightChars="0" w:firstLineChars="-1"/>
      <w:textDirection w:val="btLr"/>
      <w:textAlignment w:val="top"/>
      <w:outlineLvl w:val="0"/>
    </w:pPr>
    <w:rPr>
      <w:b w:val="1"/>
      <w:color w:val="12263f"/>
      <w:w w:val="100"/>
      <w:position w:val="-1"/>
      <w:sz w:val="24"/>
      <w:szCs w:val="24"/>
      <w:effect w:val="none"/>
      <w:vertAlign w:val="baseline"/>
      <w:cs w:val="0"/>
      <w:em w:val="none"/>
      <w:lang w:bidi="ar-SA" w:eastAsia="en-US" w:val="en-US"/>
    </w:rPr>
  </w:style>
  <w:style w:type="character" w:styleId="Subhead2Char">
    <w:name w:val="Subhead 2 Char"/>
    <w:next w:val="Subhead2Char"/>
    <w:autoRedefine w:val="0"/>
    <w:hidden w:val="0"/>
    <w:qFormat w:val="0"/>
    <w:rPr>
      <w:b w:val="1"/>
      <w:color w:val="12263f"/>
      <w:w w:val="100"/>
      <w:position w:val="-1"/>
      <w:sz w:val="24"/>
      <w:szCs w:val="24"/>
      <w:effect w:val="none"/>
      <w:vertAlign w:val="baseline"/>
      <w:cs w:val="0"/>
      <w:em w:val="none"/>
      <w:lang w:eastAsia="en-US" w:val="en-US"/>
    </w:rPr>
  </w:style>
  <w:style w:type="paragraph" w:styleId="TOC3">
    <w:name w:val="TOC 3"/>
    <w:basedOn w:val="Normal"/>
    <w:next w:val="Normal"/>
    <w:autoRedefine w:val="0"/>
    <w:hidden w:val="0"/>
    <w:qFormat w:val="1"/>
    <w:pPr>
      <w:suppressAutoHyphens w:val="1"/>
      <w:spacing w:after="100" w:line="1" w:lineRule="atLeast"/>
      <w:ind w:left="400" w:leftChars="-1" w:rightChars="0" w:firstLineChars="-1"/>
      <w:textDirection w:val="btLr"/>
      <w:textAlignment w:val="top"/>
      <w:outlineLvl w:val="0"/>
    </w:pPr>
    <w:rPr>
      <w:w w:val="100"/>
      <w:position w:val="-1"/>
      <w:szCs w:val="24"/>
      <w:effect w:val="none"/>
      <w:vertAlign w:val="baseline"/>
      <w:cs w:val="0"/>
      <w:em w:val="none"/>
      <w:lang w:bidi="ar-SA" w:eastAsia="en-US" w:val="en-US"/>
    </w:rPr>
  </w:style>
  <w:style w:type="paragraph" w:styleId="1bodycopy">
    <w:name w:val="1 body copy"/>
    <w:basedOn w:val="Normal"/>
    <w:next w:val="1bodycopy"/>
    <w:autoRedefine w:val="0"/>
    <w:hidden w:val="0"/>
    <w:qFormat w:val="0"/>
    <w:pPr>
      <w:suppressAutoHyphens w:val="1"/>
      <w:spacing w:after="120" w:line="1" w:lineRule="atLeast"/>
      <w:ind w:leftChars="-1" w:rightChars="0" w:firstLineChars="-1"/>
      <w:textDirection w:val="btLr"/>
      <w:textAlignment w:val="top"/>
      <w:outlineLvl w:val="0"/>
    </w:pPr>
    <w:rPr>
      <w:w w:val="100"/>
      <w:position w:val="-1"/>
      <w:szCs w:val="24"/>
      <w:effect w:val="none"/>
      <w:vertAlign w:val="baseline"/>
      <w:cs w:val="0"/>
      <w:em w:val="none"/>
      <w:lang w:bidi="ar-SA" w:eastAsia="en-US" w:val="en-US"/>
    </w:rPr>
  </w:style>
  <w:style w:type="character" w:styleId="1bodycopyChar">
    <w:name w:val="1 body copy Char"/>
    <w:next w:val="1bodycopyChar"/>
    <w:autoRedefine w:val="0"/>
    <w:hidden w:val="0"/>
    <w:qFormat w:val="0"/>
    <w:rPr>
      <w:w w:val="100"/>
      <w:position w:val="-1"/>
      <w:szCs w:val="24"/>
      <w:effect w:val="none"/>
      <w:vertAlign w:val="baseline"/>
      <w:cs w:val="0"/>
      <w:em w:val="none"/>
      <w:lang w:eastAsia="en-US" w:val="en-US"/>
    </w:rPr>
  </w:style>
  <w:style w:type="character" w:styleId="CommentReference">
    <w:name w:val="Comment Reference"/>
    <w:next w:val="CommentReference"/>
    <w:autoRedefine w:val="0"/>
    <w:hidden w:val="0"/>
    <w:qFormat w:val="1"/>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1"/>
    <w:pPr>
      <w:suppressAutoHyphens w:val="1"/>
      <w:spacing w:after="120" w:line="1" w:lineRule="atLeast"/>
      <w:ind w:leftChars="-1" w:rightChars="0" w:firstLineChars="-1"/>
      <w:textDirection w:val="btLr"/>
      <w:textAlignment w:val="top"/>
      <w:outlineLvl w:val="0"/>
    </w:pPr>
    <w:rPr>
      <w:w w:val="100"/>
      <w:position w:val="-1"/>
      <w:szCs w:val="20"/>
      <w:effect w:val="none"/>
      <w:vertAlign w:val="baseline"/>
      <w:cs w:val="0"/>
      <w:em w:val="none"/>
      <w:lang w:bidi="ar-SA" w:eastAsia="en-US" w:val="en-US"/>
    </w:rPr>
  </w:style>
  <w:style w:type="character" w:styleId="CommentTextChar">
    <w:name w:val="Comment Text Char"/>
    <w:next w:val="CommentTextChar"/>
    <w:autoRedefine w:val="0"/>
    <w:hidden w:val="0"/>
    <w:qFormat w:val="0"/>
    <w:rPr>
      <w:w w:val="100"/>
      <w:position w:val="-1"/>
      <w:effect w:val="none"/>
      <w:vertAlign w:val="baseline"/>
      <w:cs w:val="0"/>
      <w:em w:val="none"/>
      <w:lang w:eastAsia="en-US" w:val="en-US"/>
    </w:rPr>
  </w:style>
  <w:style w:type="paragraph" w:styleId="CommentSubject">
    <w:name w:val="Comment Subject"/>
    <w:basedOn w:val="CommentText"/>
    <w:next w:val="CommentText"/>
    <w:autoRedefine w:val="0"/>
    <w:hidden w:val="0"/>
    <w:qFormat w:val="1"/>
    <w:pPr>
      <w:suppressAutoHyphens w:val="1"/>
      <w:spacing w:after="120" w:line="1" w:lineRule="atLeast"/>
      <w:ind w:leftChars="-1" w:rightChars="0" w:firstLineChars="-1"/>
      <w:textDirection w:val="btLr"/>
      <w:textAlignment w:val="top"/>
      <w:outlineLvl w:val="0"/>
    </w:pPr>
    <w:rPr>
      <w:b w:val="1"/>
      <w:bCs w:val="1"/>
      <w:w w:val="100"/>
      <w:position w:val="-1"/>
      <w:szCs w:val="20"/>
      <w:effect w:val="none"/>
      <w:vertAlign w:val="baseline"/>
      <w:cs w:val="0"/>
      <w:em w:val="none"/>
      <w:lang w:bidi="ar-SA" w:eastAsia="en-US" w:val="en-US"/>
    </w:rPr>
  </w:style>
  <w:style w:type="character" w:styleId="CommentSubjectChar">
    <w:name w:val="Comment Subject Char"/>
    <w:next w:val="CommentSubjectChar"/>
    <w:autoRedefine w:val="0"/>
    <w:hidden w:val="0"/>
    <w:qFormat w:val="0"/>
    <w:rPr>
      <w:b w:val="1"/>
      <w:bCs w:val="1"/>
      <w:w w:val="100"/>
      <w:position w:val="-1"/>
      <w:effect w:val="none"/>
      <w:vertAlign w:val="baseline"/>
      <w:cs w:val="0"/>
      <w:em w:val="none"/>
      <w:lang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57.0" w:type="dxa"/>
        <w:left w:w="108.0" w:type="dxa"/>
        <w:bottom w:w="57.0" w:type="dxa"/>
        <w:right w:w="108.0" w:type="dxa"/>
      </w:tblCellMar>
    </w:tblPr>
  </w:style>
  <w:style w:type="table" w:styleId="Table2">
    <w:basedOn w:val="TableNormal"/>
    <w:tblPr>
      <w:tblStyleRowBandSize w:val="1"/>
      <w:tblStyleColBandSize w:val="1"/>
      <w:tblCellMar>
        <w:top w:w="57.0" w:type="dxa"/>
        <w:left w:w="108.0" w:type="dxa"/>
        <w:bottom w:w="57.0" w:type="dxa"/>
        <w:right w:w="108.0" w:type="dxa"/>
      </w:tblCellMar>
    </w:tblPr>
  </w:style>
  <w:style w:type="table" w:styleId="Table3">
    <w:basedOn w:val="TableNormal"/>
    <w:tblPr>
      <w:tblStyleRowBandSize w:val="1"/>
      <w:tblStyleColBandSize w:val="1"/>
      <w:tblCellMar>
        <w:top w:w="142.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ukradon.org/cms/assets/gfx/content/resource_4430csce052ea95d.pdf" TargetMode="External"/><Relationship Id="rId22" Type="http://schemas.openxmlformats.org/officeDocument/2006/relationships/header" Target="header2.xml"/><Relationship Id="rId21" Type="http://schemas.openxmlformats.org/officeDocument/2006/relationships/header" Target="header3.xml"/><Relationship Id="rId24" Type="http://schemas.openxmlformats.org/officeDocument/2006/relationships/footer" Target="footer2.xml"/><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uk/government/publications/statutory-policies-for-schools" TargetMode="External"/><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4.png"/><Relationship Id="rId11" Type="http://schemas.openxmlformats.org/officeDocument/2006/relationships/hyperlink" Target="http://www.legislation.gov.uk/uksi/2012/1943/contents/made" TargetMode="External"/><Relationship Id="rId10" Type="http://schemas.openxmlformats.org/officeDocument/2006/relationships/hyperlink" Target="https://www.legislation.gov.uk/ukpga/1974/37/contents" TargetMode="External"/><Relationship Id="rId13" Type="http://schemas.openxmlformats.org/officeDocument/2006/relationships/hyperlink" Target="https://www.gov.uk/guidance/good-estate-management-for-schools" TargetMode="External"/><Relationship Id="rId12" Type="http://schemas.openxmlformats.org/officeDocument/2006/relationships/hyperlink" Target="https://www.gov.uk/government/publications/early-years-foundation-stage-framework--2" TargetMode="External"/><Relationship Id="rId15" Type="http://schemas.openxmlformats.org/officeDocument/2006/relationships/hyperlink" Target="http://www.hse.gov.uk/pubns/indg236.htm" TargetMode="External"/><Relationship Id="rId14" Type="http://schemas.openxmlformats.org/officeDocument/2006/relationships/hyperlink" Target="https://www.gov.uk/guidance/good-estate-management-for-schools/health-and-safety" TargetMode="External"/><Relationship Id="rId17" Type="http://schemas.openxmlformats.org/officeDocument/2006/relationships/hyperlink" Target="http://www.hse.gov.uk/pubns/books/hsg274.htm" TargetMode="External"/><Relationship Id="rId16" Type="http://schemas.openxmlformats.org/officeDocument/2006/relationships/hyperlink" Target="http://www.hse.gov.uk/pubns/books/l122.htm" TargetMode="External"/><Relationship Id="rId19" Type="http://schemas.openxmlformats.org/officeDocument/2006/relationships/hyperlink" Target="http://www.hse.gov.uk/pubns/books/hsg282.htm" TargetMode="External"/><Relationship Id="rId18" Type="http://schemas.openxmlformats.org/officeDocument/2006/relationships/hyperlink" Target="http://www.hse.gov.uk/pubns/books/hsg97.ht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sp+K230reu/g/3Xeakm6K6f6tg==">CgMxLjAyDWgucWdzcGpqcTJqcWk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gAciExM3BvZ2FuRXZJSVd5LTN4Yko1NHhISk9wN3hnSnJ1OF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2022-10-04T11:35:00Z</dcterms:created>
  <dc:creator/>
</cp:coreProperties>
</file>

<file path=docProps/custom.xml><?xml version="1.0" encoding="utf-8"?>
<Properties xmlns="http://schemas.openxmlformats.org/officeDocument/2006/custom-properties" xmlns:vt="http://schemas.openxmlformats.org/officeDocument/2006/docPropsVTypes"/>
</file>